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B8B" w:rsidRDefault="00D84B8B">
      <w:pPr>
        <w:jc w:val="center"/>
        <w:rPr>
          <w:b/>
          <w:sz w:val="44"/>
          <w:szCs w:val="44"/>
        </w:rPr>
      </w:pPr>
    </w:p>
    <w:p w:rsidR="00D84B8B" w:rsidRDefault="00D84B8B">
      <w:pPr>
        <w:jc w:val="center"/>
        <w:rPr>
          <w:b/>
          <w:sz w:val="44"/>
          <w:szCs w:val="44"/>
        </w:rPr>
      </w:pPr>
    </w:p>
    <w:p w:rsidR="00D84B8B" w:rsidRDefault="00D84B8B">
      <w:pPr>
        <w:jc w:val="center"/>
        <w:rPr>
          <w:b/>
          <w:sz w:val="44"/>
          <w:szCs w:val="44"/>
        </w:rPr>
      </w:pPr>
    </w:p>
    <w:p w:rsidR="002A7603" w:rsidRPr="002A7603" w:rsidRDefault="002A7603" w:rsidP="002A7603">
      <w:pPr>
        <w:jc w:val="center"/>
        <w:rPr>
          <w:b/>
          <w:sz w:val="44"/>
          <w:szCs w:val="44"/>
        </w:rPr>
      </w:pPr>
      <w:r w:rsidRPr="002A7603">
        <w:rPr>
          <w:rFonts w:hint="eastAsia"/>
          <w:b/>
          <w:sz w:val="44"/>
          <w:szCs w:val="44"/>
        </w:rPr>
        <w:t>关于组织开展</w:t>
      </w:r>
      <w:r w:rsidRPr="002A7603">
        <w:rPr>
          <w:rFonts w:hint="eastAsia"/>
          <w:b/>
          <w:sz w:val="44"/>
          <w:szCs w:val="44"/>
        </w:rPr>
        <w:t>2015</w:t>
      </w:r>
      <w:r w:rsidRPr="002A7603">
        <w:rPr>
          <w:rFonts w:hint="eastAsia"/>
          <w:b/>
          <w:sz w:val="44"/>
          <w:szCs w:val="44"/>
        </w:rPr>
        <w:t>年度辽宁省自然科学基金项目结题验收工作的通知</w:t>
      </w:r>
    </w:p>
    <w:p w:rsidR="00D84B8B" w:rsidRDefault="00D84B8B">
      <w:pPr>
        <w:rPr>
          <w:rFonts w:ascii="仿宋" w:eastAsia="仿宋" w:hAnsi="仿宋"/>
          <w:sz w:val="32"/>
          <w:szCs w:val="32"/>
        </w:rPr>
      </w:pP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各有关单位：</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为进一步加强辽宁省自然科学基金计划项目的组织与跟踪管理工作，按照《辽宁省科学技术基金项目管理办法》要求，经研究，决定对2012-2013年度辽宁省自然科学基金计划项目开展结题验收工作。现将有关事宜通知如下：</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一、结题验收的范围</w:t>
      </w:r>
    </w:p>
    <w:p w:rsidR="002A7603" w:rsidRPr="00D34D07" w:rsidRDefault="002A7603" w:rsidP="002A7603">
      <w:pPr>
        <w:rPr>
          <w:rFonts w:ascii="仿宋" w:eastAsia="仿宋" w:hAnsi="仿宋"/>
          <w:sz w:val="32"/>
          <w:szCs w:val="32"/>
        </w:rPr>
      </w:pPr>
      <w:r w:rsidRPr="002A7603">
        <w:rPr>
          <w:rFonts w:ascii="仿宋" w:eastAsia="仿宋" w:hAnsi="仿宋" w:hint="eastAsia"/>
          <w:sz w:val="32"/>
          <w:szCs w:val="32"/>
        </w:rPr>
        <w:t xml:space="preserve">    1.</w:t>
      </w:r>
      <w:r w:rsidRPr="00D34D07">
        <w:rPr>
          <w:rFonts w:ascii="仿宋" w:eastAsia="仿宋" w:hAnsi="仿宋" w:hint="eastAsia"/>
          <w:sz w:val="32"/>
          <w:szCs w:val="32"/>
        </w:rPr>
        <w:t>2012和2013年度下达，已到期的辽宁省自然科学基金项目;</w:t>
      </w:r>
    </w:p>
    <w:p w:rsidR="002A7603" w:rsidRPr="002A7603" w:rsidRDefault="002A7603" w:rsidP="002A7603">
      <w:pPr>
        <w:rPr>
          <w:rFonts w:ascii="仿宋" w:eastAsia="仿宋" w:hAnsi="仿宋"/>
          <w:sz w:val="32"/>
          <w:szCs w:val="32"/>
        </w:rPr>
      </w:pPr>
      <w:r w:rsidRPr="00D34D07">
        <w:rPr>
          <w:rFonts w:ascii="仿宋" w:eastAsia="仿宋" w:hAnsi="仿宋" w:hint="eastAsia"/>
          <w:sz w:val="32"/>
          <w:szCs w:val="32"/>
        </w:rPr>
        <w:t xml:space="preserve">    2.2011</w:t>
      </w:r>
      <w:r w:rsidRPr="002A7603">
        <w:rPr>
          <w:rFonts w:ascii="仿宋" w:eastAsia="仿宋" w:hAnsi="仿宋" w:hint="eastAsia"/>
          <w:sz w:val="32"/>
          <w:szCs w:val="32"/>
        </w:rPr>
        <w:t>年度下达，提出延期结题的辽宁省自然科学基金项目。</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二、结题验收的内容</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审查基金项目执行情况、主要进展与成果、人才培养、合作交流及经费使用等方面情况，总结取得的主要成绩和存在的问题。</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三、结题验收的程序</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1．凡申请验收的省级自然科学基金计划项目需登录辽</w:t>
      </w:r>
      <w:r w:rsidRPr="002A7603">
        <w:rPr>
          <w:rFonts w:ascii="仿宋" w:eastAsia="仿宋" w:hAnsi="仿宋" w:hint="eastAsia"/>
          <w:sz w:val="32"/>
          <w:szCs w:val="32"/>
        </w:rPr>
        <w:lastRenderedPageBreak/>
        <w:t>宁省科学技术计划项目管理信息系统，按要求填报《辽宁省自然科学基金项目结题报告》。</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2．基金项目初审推荐单位在辽宁省科学技术计划项目管理信息系统中对本单位申请验收项目的结题报告进行审核。</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3.省科技厅对经过初审的结题报告进行复审，并将通过复审的项目提交评估机构，聘请专家对符合结题验收条件的基金项目进行集中网络评审论证。</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四、结题验收的要求</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1．在线填写《结题报告》截止时间为2015年11月2日；初审推荐单位网上审核、推荐文件截止时间为11月6日。</w:t>
      </w:r>
      <w:r w:rsidR="002F6272">
        <w:rPr>
          <w:rFonts w:ascii="仿宋" w:eastAsia="仿宋" w:hAnsi="仿宋" w:hint="eastAsia"/>
          <w:sz w:val="32"/>
          <w:szCs w:val="32"/>
        </w:rPr>
        <w:t>·</w:t>
      </w:r>
      <w:bookmarkStart w:id="0" w:name="_GoBack"/>
      <w:bookmarkEnd w:id="0"/>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2．不能按照规定时间完成验收结题的项目，初审单位请在附件中加以明确并加盖公章。</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3．对未结题的基金项目承担人，项目各依托单位不得推荐其申报下一年度的辽宁省科技计划项目；对无故不结题的项目承担人，不得推荐其申报今后年度任何计划类别的省本级科技项目。对于未能履行项目管理职责的初审单位，我厅将按照有关规定，视情况相应给予惩戒，并在下一年度计划申报中减少其推荐名额，情节严重的将取消其初审单位资格。</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联系人： </w:t>
      </w:r>
      <w:proofErr w:type="gramStart"/>
      <w:r w:rsidRPr="002A7603">
        <w:rPr>
          <w:rFonts w:ascii="仿宋" w:eastAsia="仿宋" w:hAnsi="仿宋" w:hint="eastAsia"/>
          <w:sz w:val="32"/>
          <w:szCs w:val="32"/>
        </w:rPr>
        <w:t>鞠</w:t>
      </w:r>
      <w:proofErr w:type="gramEnd"/>
      <w:r w:rsidRPr="002A7603">
        <w:rPr>
          <w:rFonts w:ascii="仿宋" w:eastAsia="仿宋" w:hAnsi="仿宋" w:hint="eastAsia"/>
          <w:sz w:val="32"/>
          <w:szCs w:val="32"/>
        </w:rPr>
        <w:t xml:space="preserve"> </w:t>
      </w:r>
      <w:proofErr w:type="gramStart"/>
      <w:r w:rsidRPr="002A7603">
        <w:rPr>
          <w:rFonts w:ascii="仿宋" w:eastAsia="仿宋" w:hAnsi="仿宋" w:hint="eastAsia"/>
          <w:sz w:val="32"/>
          <w:szCs w:val="32"/>
        </w:rPr>
        <w:t>轶</w:t>
      </w:r>
      <w:proofErr w:type="gramEnd"/>
      <w:r w:rsidRPr="002A7603">
        <w:rPr>
          <w:rFonts w:ascii="仿宋" w:eastAsia="仿宋" w:hAnsi="仿宋" w:hint="eastAsia"/>
          <w:sz w:val="32"/>
          <w:szCs w:val="32"/>
        </w:rPr>
        <w:t xml:space="preserve">   汪 伦</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lastRenderedPageBreak/>
        <w:t xml:space="preserve">    电  话： 024-23983403   23983410 </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传  真： 024-23983615</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通讯地址：沈阳市和平区三好街24号（110004）</w:t>
      </w:r>
    </w:p>
    <w:p w:rsidR="002A7603" w:rsidRPr="002A7603" w:rsidRDefault="002A7603" w:rsidP="002A7603">
      <w:pPr>
        <w:rPr>
          <w:rFonts w:ascii="仿宋" w:eastAsia="仿宋" w:hAnsi="仿宋"/>
          <w:sz w:val="32"/>
          <w:szCs w:val="32"/>
        </w:rPr>
      </w:pPr>
      <w:r w:rsidRPr="002A7603">
        <w:rPr>
          <w:rFonts w:ascii="仿宋" w:eastAsia="仿宋" w:hAnsi="仿宋"/>
          <w:sz w:val="32"/>
          <w:szCs w:val="32"/>
        </w:rPr>
        <w:t xml:space="preserve"> </w:t>
      </w:r>
    </w:p>
    <w:p w:rsidR="002A7603" w:rsidRPr="002A7603" w:rsidRDefault="002A7603" w:rsidP="002A7603">
      <w:pPr>
        <w:rPr>
          <w:rFonts w:ascii="仿宋" w:eastAsia="仿宋" w:hAnsi="仿宋"/>
          <w:sz w:val="32"/>
          <w:szCs w:val="32"/>
        </w:rPr>
      </w:pPr>
      <w:r w:rsidRPr="002A7603">
        <w:rPr>
          <w:rFonts w:ascii="仿宋" w:eastAsia="仿宋" w:hAnsi="仿宋" w:hint="eastAsia"/>
          <w:sz w:val="32"/>
          <w:szCs w:val="32"/>
        </w:rPr>
        <w:t xml:space="preserve">    附件：辽宁省自然科学基金结题情况表</w:t>
      </w:r>
    </w:p>
    <w:p w:rsidR="002A7603" w:rsidRPr="002A7603" w:rsidRDefault="002A7603" w:rsidP="002A7603">
      <w:pPr>
        <w:rPr>
          <w:rFonts w:ascii="仿宋" w:eastAsia="仿宋" w:hAnsi="仿宋"/>
          <w:sz w:val="32"/>
          <w:szCs w:val="32"/>
        </w:rPr>
      </w:pPr>
      <w:r w:rsidRPr="002A7603">
        <w:rPr>
          <w:rFonts w:ascii="仿宋" w:eastAsia="仿宋" w:hAnsi="仿宋"/>
          <w:sz w:val="32"/>
          <w:szCs w:val="32"/>
        </w:rPr>
        <w:t xml:space="preserve"> </w:t>
      </w:r>
    </w:p>
    <w:p w:rsidR="002A7603" w:rsidRPr="002A7603" w:rsidRDefault="002A7603" w:rsidP="002A7603">
      <w:pPr>
        <w:rPr>
          <w:rFonts w:ascii="仿宋" w:eastAsia="仿宋" w:hAnsi="仿宋"/>
          <w:sz w:val="32"/>
          <w:szCs w:val="32"/>
        </w:rPr>
      </w:pPr>
      <w:r w:rsidRPr="002A7603">
        <w:rPr>
          <w:rFonts w:ascii="仿宋" w:eastAsia="仿宋" w:hAnsi="仿宋"/>
          <w:sz w:val="32"/>
          <w:szCs w:val="32"/>
        </w:rPr>
        <w:t xml:space="preserve"> </w:t>
      </w:r>
    </w:p>
    <w:p w:rsidR="002A7603" w:rsidRPr="002A7603" w:rsidRDefault="002A7603" w:rsidP="002A7603">
      <w:pPr>
        <w:rPr>
          <w:rFonts w:ascii="仿宋" w:eastAsia="仿宋" w:hAnsi="仿宋"/>
          <w:sz w:val="32"/>
          <w:szCs w:val="32"/>
        </w:rPr>
      </w:pPr>
      <w:r w:rsidRPr="002A7603">
        <w:rPr>
          <w:rFonts w:ascii="仿宋" w:eastAsia="仿宋" w:hAnsi="仿宋"/>
          <w:sz w:val="32"/>
          <w:szCs w:val="32"/>
        </w:rPr>
        <w:t xml:space="preserve"> </w:t>
      </w:r>
    </w:p>
    <w:p w:rsidR="002A7603" w:rsidRPr="002A7603" w:rsidRDefault="002A7603" w:rsidP="002A7603">
      <w:pPr>
        <w:jc w:val="right"/>
        <w:rPr>
          <w:rFonts w:ascii="仿宋" w:eastAsia="仿宋" w:hAnsi="仿宋"/>
          <w:sz w:val="32"/>
          <w:szCs w:val="32"/>
        </w:rPr>
      </w:pPr>
      <w:r w:rsidRPr="002A7603">
        <w:rPr>
          <w:rFonts w:ascii="仿宋" w:eastAsia="仿宋" w:hAnsi="仿宋" w:hint="eastAsia"/>
          <w:sz w:val="32"/>
          <w:szCs w:val="32"/>
        </w:rPr>
        <w:t>辽宁省科学技术</w:t>
      </w:r>
      <w:proofErr w:type="gramStart"/>
      <w:r w:rsidRPr="002A7603">
        <w:rPr>
          <w:rFonts w:ascii="仿宋" w:eastAsia="仿宋" w:hAnsi="仿宋" w:hint="eastAsia"/>
          <w:sz w:val="32"/>
          <w:szCs w:val="32"/>
        </w:rPr>
        <w:t>厅发展</w:t>
      </w:r>
      <w:proofErr w:type="gramEnd"/>
      <w:r w:rsidRPr="002A7603">
        <w:rPr>
          <w:rFonts w:ascii="仿宋" w:eastAsia="仿宋" w:hAnsi="仿宋" w:hint="eastAsia"/>
          <w:sz w:val="32"/>
          <w:szCs w:val="32"/>
        </w:rPr>
        <w:t>计划处</w:t>
      </w:r>
    </w:p>
    <w:p w:rsidR="002A7603" w:rsidRPr="002A7603" w:rsidRDefault="002A7603" w:rsidP="002A7603">
      <w:pPr>
        <w:jc w:val="right"/>
        <w:rPr>
          <w:rFonts w:ascii="仿宋" w:eastAsia="仿宋" w:hAnsi="仿宋"/>
          <w:sz w:val="32"/>
          <w:szCs w:val="32"/>
        </w:rPr>
      </w:pPr>
      <w:r w:rsidRPr="002A7603">
        <w:rPr>
          <w:rFonts w:ascii="仿宋" w:eastAsia="仿宋" w:hAnsi="仿宋" w:hint="eastAsia"/>
          <w:sz w:val="32"/>
          <w:szCs w:val="32"/>
        </w:rPr>
        <w:t>2015年10月12日</w:t>
      </w:r>
    </w:p>
    <w:p w:rsidR="002A7603" w:rsidRPr="002A7603" w:rsidRDefault="002A7603" w:rsidP="002A7603">
      <w:pPr>
        <w:rPr>
          <w:rFonts w:ascii="仿宋" w:eastAsia="仿宋" w:hAnsi="仿宋"/>
          <w:sz w:val="32"/>
          <w:szCs w:val="32"/>
        </w:rPr>
      </w:pPr>
    </w:p>
    <w:p w:rsidR="002A7603" w:rsidRPr="002A7603" w:rsidRDefault="002A7603" w:rsidP="002A7603">
      <w:pPr>
        <w:rPr>
          <w:rFonts w:ascii="仿宋" w:eastAsia="仿宋" w:hAnsi="仿宋"/>
          <w:sz w:val="32"/>
          <w:szCs w:val="32"/>
        </w:rPr>
      </w:pPr>
    </w:p>
    <w:p w:rsidR="00D84B8B" w:rsidRDefault="00D84B8B">
      <w:pPr>
        <w:ind w:firstLine="645"/>
        <w:rPr>
          <w:rFonts w:ascii="仿宋" w:eastAsia="仿宋" w:hAnsi="仿宋"/>
          <w:sz w:val="32"/>
          <w:szCs w:val="32"/>
        </w:rPr>
      </w:pPr>
    </w:p>
    <w:p w:rsidR="00D84B8B" w:rsidRDefault="00A96E6F">
      <w:pPr>
        <w:jc w:val="left"/>
        <w:rPr>
          <w:rFonts w:ascii="黑体" w:eastAsia="黑体" w:hAnsi="黑体"/>
          <w:sz w:val="28"/>
          <w:szCs w:val="28"/>
        </w:rPr>
      </w:pPr>
      <w:r>
        <w:rPr>
          <w:rFonts w:ascii="黑体" w:eastAsia="黑体" w:hAnsi="黑体" w:hint="eastAsia"/>
          <w:sz w:val="28"/>
          <w:szCs w:val="28"/>
        </w:rPr>
        <w:t>附件</w:t>
      </w:r>
    </w:p>
    <w:p w:rsidR="00D84B8B" w:rsidRDefault="00A96E6F">
      <w:pPr>
        <w:jc w:val="center"/>
        <w:rPr>
          <w:rFonts w:ascii="黑体" w:eastAsia="黑体" w:hAnsi="黑体"/>
          <w:sz w:val="36"/>
          <w:szCs w:val="36"/>
        </w:rPr>
      </w:pPr>
      <w:r>
        <w:rPr>
          <w:rFonts w:ascii="黑体" w:eastAsia="黑体" w:hAnsi="黑体" w:hint="eastAsia"/>
          <w:sz w:val="36"/>
          <w:szCs w:val="36"/>
        </w:rPr>
        <w:t>辽宁省</w:t>
      </w:r>
      <w:r w:rsidR="006E2B43">
        <w:rPr>
          <w:rFonts w:ascii="黑体" w:eastAsia="黑体" w:hAnsi="黑体" w:hint="eastAsia"/>
          <w:sz w:val="36"/>
          <w:szCs w:val="36"/>
        </w:rPr>
        <w:t>自然科学</w:t>
      </w:r>
      <w:r>
        <w:rPr>
          <w:rFonts w:ascii="黑体" w:eastAsia="黑体" w:hAnsi="黑体" w:hint="eastAsia"/>
          <w:sz w:val="36"/>
          <w:szCs w:val="36"/>
        </w:rPr>
        <w:t>基金结题情况表</w:t>
      </w:r>
    </w:p>
    <w:p w:rsidR="00D84B8B" w:rsidRDefault="00A96E6F">
      <w:pPr>
        <w:rPr>
          <w:rFonts w:ascii="楷体" w:eastAsia="楷体" w:hAnsi="楷体"/>
          <w:sz w:val="28"/>
          <w:szCs w:val="28"/>
        </w:rPr>
      </w:pPr>
      <w:r>
        <w:rPr>
          <w:rFonts w:ascii="楷体" w:eastAsia="楷体" w:hAnsi="楷体" w:hint="eastAsia"/>
          <w:sz w:val="28"/>
          <w:szCs w:val="28"/>
        </w:rPr>
        <w:t>初审单位:</w:t>
      </w:r>
      <w:r w:rsidR="002A7603">
        <w:rPr>
          <w:rFonts w:ascii="楷体" w:eastAsia="楷体" w:hAnsi="楷体" w:hint="eastAsia"/>
          <w:sz w:val="28"/>
          <w:szCs w:val="28"/>
        </w:rPr>
        <w:t xml:space="preserve">          </w:t>
      </w:r>
      <w:r>
        <w:rPr>
          <w:rFonts w:ascii="楷体" w:eastAsia="楷体" w:hAnsi="楷体" w:hint="eastAsia"/>
          <w:sz w:val="28"/>
          <w:szCs w:val="28"/>
        </w:rPr>
        <w:t xml:space="preserve"> (盖章)</w:t>
      </w:r>
    </w:p>
    <w:tbl>
      <w:tblPr>
        <w:tblStyle w:val="a7"/>
        <w:tblW w:w="8522" w:type="dxa"/>
        <w:tblLayout w:type="fixed"/>
        <w:tblLook w:val="04A0" w:firstRow="1" w:lastRow="0" w:firstColumn="1" w:lastColumn="0" w:noHBand="0" w:noVBand="1"/>
      </w:tblPr>
      <w:tblGrid>
        <w:gridCol w:w="817"/>
        <w:gridCol w:w="1559"/>
        <w:gridCol w:w="2977"/>
        <w:gridCol w:w="1464"/>
        <w:gridCol w:w="1705"/>
      </w:tblGrid>
      <w:tr w:rsidR="00D84B8B">
        <w:tc>
          <w:tcPr>
            <w:tcW w:w="817" w:type="dxa"/>
            <w:vAlign w:val="center"/>
          </w:tcPr>
          <w:p w:rsidR="00D84B8B" w:rsidRDefault="00A96E6F">
            <w:pPr>
              <w:jc w:val="center"/>
              <w:rPr>
                <w:rFonts w:ascii="黑体" w:eastAsia="黑体" w:hAnsi="黑体"/>
                <w:sz w:val="24"/>
                <w:szCs w:val="24"/>
              </w:rPr>
            </w:pPr>
            <w:r>
              <w:rPr>
                <w:rFonts w:ascii="黑体" w:eastAsia="黑体" w:hAnsi="黑体" w:hint="eastAsia"/>
                <w:sz w:val="24"/>
                <w:szCs w:val="24"/>
              </w:rPr>
              <w:t>序号</w:t>
            </w:r>
          </w:p>
        </w:tc>
        <w:tc>
          <w:tcPr>
            <w:tcW w:w="1559" w:type="dxa"/>
            <w:vAlign w:val="center"/>
          </w:tcPr>
          <w:p w:rsidR="00D84B8B" w:rsidRDefault="00A96E6F">
            <w:pPr>
              <w:jc w:val="center"/>
              <w:rPr>
                <w:rFonts w:ascii="黑体" w:eastAsia="黑体" w:hAnsi="黑体"/>
                <w:sz w:val="24"/>
                <w:szCs w:val="24"/>
              </w:rPr>
            </w:pPr>
            <w:r>
              <w:rPr>
                <w:rFonts w:ascii="黑体" w:eastAsia="黑体" w:hAnsi="黑体" w:hint="eastAsia"/>
                <w:sz w:val="24"/>
                <w:szCs w:val="24"/>
              </w:rPr>
              <w:t>项目编号</w:t>
            </w:r>
          </w:p>
        </w:tc>
        <w:tc>
          <w:tcPr>
            <w:tcW w:w="2977" w:type="dxa"/>
            <w:vAlign w:val="center"/>
          </w:tcPr>
          <w:p w:rsidR="00D84B8B" w:rsidRDefault="00A96E6F">
            <w:pPr>
              <w:jc w:val="center"/>
              <w:rPr>
                <w:rFonts w:ascii="黑体" w:eastAsia="黑体" w:hAnsi="黑体"/>
                <w:sz w:val="24"/>
                <w:szCs w:val="24"/>
              </w:rPr>
            </w:pPr>
            <w:r>
              <w:rPr>
                <w:rFonts w:ascii="黑体" w:eastAsia="黑体" w:hAnsi="黑体" w:hint="eastAsia"/>
                <w:sz w:val="24"/>
                <w:szCs w:val="24"/>
              </w:rPr>
              <w:t>项目名称</w:t>
            </w:r>
          </w:p>
        </w:tc>
        <w:tc>
          <w:tcPr>
            <w:tcW w:w="1464" w:type="dxa"/>
            <w:vAlign w:val="center"/>
          </w:tcPr>
          <w:p w:rsidR="00D84B8B" w:rsidRDefault="00A96E6F">
            <w:pPr>
              <w:jc w:val="center"/>
              <w:rPr>
                <w:rFonts w:ascii="黑体" w:eastAsia="黑体" w:hAnsi="黑体"/>
                <w:sz w:val="24"/>
                <w:szCs w:val="24"/>
              </w:rPr>
            </w:pPr>
            <w:r>
              <w:rPr>
                <w:rFonts w:ascii="黑体" w:eastAsia="黑体" w:hAnsi="黑体" w:hint="eastAsia"/>
                <w:sz w:val="24"/>
                <w:szCs w:val="24"/>
              </w:rPr>
              <w:t>项目承担人</w:t>
            </w:r>
          </w:p>
        </w:tc>
        <w:tc>
          <w:tcPr>
            <w:tcW w:w="1705" w:type="dxa"/>
            <w:vAlign w:val="center"/>
          </w:tcPr>
          <w:p w:rsidR="00D84B8B" w:rsidRDefault="00A96E6F">
            <w:pPr>
              <w:jc w:val="center"/>
              <w:rPr>
                <w:rFonts w:ascii="黑体" w:eastAsia="黑体" w:hAnsi="黑体"/>
                <w:sz w:val="24"/>
                <w:szCs w:val="24"/>
              </w:rPr>
            </w:pPr>
            <w:r>
              <w:rPr>
                <w:rFonts w:ascii="黑体" w:eastAsia="黑体" w:hAnsi="黑体" w:hint="eastAsia"/>
                <w:sz w:val="24"/>
                <w:szCs w:val="24"/>
              </w:rPr>
              <w:t>备注</w:t>
            </w:r>
          </w:p>
          <w:p w:rsidR="00D84B8B" w:rsidRDefault="00A96E6F">
            <w:pPr>
              <w:jc w:val="center"/>
              <w:rPr>
                <w:rFonts w:ascii="黑体" w:eastAsia="黑体" w:hAnsi="黑体"/>
                <w:sz w:val="24"/>
                <w:szCs w:val="24"/>
              </w:rPr>
            </w:pPr>
            <w:r>
              <w:rPr>
                <w:rFonts w:ascii="黑体" w:eastAsia="黑体" w:hAnsi="黑体" w:hint="eastAsia"/>
                <w:sz w:val="24"/>
                <w:szCs w:val="24"/>
              </w:rPr>
              <w:t>(结题或延期)</w:t>
            </w: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r w:rsidR="00D84B8B">
        <w:tc>
          <w:tcPr>
            <w:tcW w:w="817" w:type="dxa"/>
            <w:vAlign w:val="center"/>
          </w:tcPr>
          <w:p w:rsidR="00D84B8B" w:rsidRDefault="00D84B8B">
            <w:pPr>
              <w:jc w:val="center"/>
              <w:rPr>
                <w:rFonts w:ascii="宋体" w:hAnsi="宋体"/>
                <w:sz w:val="24"/>
                <w:szCs w:val="24"/>
              </w:rPr>
            </w:pPr>
          </w:p>
        </w:tc>
        <w:tc>
          <w:tcPr>
            <w:tcW w:w="1559" w:type="dxa"/>
            <w:vAlign w:val="center"/>
          </w:tcPr>
          <w:p w:rsidR="00D84B8B" w:rsidRDefault="00D84B8B">
            <w:pPr>
              <w:jc w:val="center"/>
              <w:rPr>
                <w:rFonts w:ascii="宋体" w:hAnsi="宋体"/>
                <w:sz w:val="24"/>
                <w:szCs w:val="24"/>
              </w:rPr>
            </w:pPr>
          </w:p>
        </w:tc>
        <w:tc>
          <w:tcPr>
            <w:tcW w:w="2977" w:type="dxa"/>
            <w:vAlign w:val="center"/>
          </w:tcPr>
          <w:p w:rsidR="00D84B8B" w:rsidRDefault="00D84B8B">
            <w:pPr>
              <w:jc w:val="center"/>
              <w:rPr>
                <w:rFonts w:ascii="宋体" w:hAnsi="宋体"/>
                <w:sz w:val="24"/>
                <w:szCs w:val="24"/>
              </w:rPr>
            </w:pPr>
          </w:p>
        </w:tc>
        <w:tc>
          <w:tcPr>
            <w:tcW w:w="1464" w:type="dxa"/>
            <w:vAlign w:val="center"/>
          </w:tcPr>
          <w:p w:rsidR="00D84B8B" w:rsidRDefault="00D84B8B">
            <w:pPr>
              <w:jc w:val="center"/>
              <w:rPr>
                <w:rFonts w:ascii="宋体" w:hAnsi="宋体"/>
                <w:sz w:val="24"/>
                <w:szCs w:val="24"/>
              </w:rPr>
            </w:pPr>
          </w:p>
        </w:tc>
        <w:tc>
          <w:tcPr>
            <w:tcW w:w="1705" w:type="dxa"/>
            <w:vAlign w:val="center"/>
          </w:tcPr>
          <w:p w:rsidR="00D84B8B" w:rsidRDefault="00D84B8B">
            <w:pPr>
              <w:jc w:val="center"/>
              <w:rPr>
                <w:rFonts w:ascii="宋体" w:hAnsi="宋体"/>
                <w:sz w:val="24"/>
                <w:szCs w:val="24"/>
              </w:rPr>
            </w:pPr>
          </w:p>
        </w:tc>
      </w:tr>
    </w:tbl>
    <w:p w:rsidR="00D84B8B" w:rsidRDefault="00D84B8B">
      <w:pPr>
        <w:rPr>
          <w:rFonts w:ascii="楷体" w:eastAsia="楷体" w:hAnsi="楷体"/>
          <w:sz w:val="28"/>
          <w:szCs w:val="28"/>
        </w:rPr>
      </w:pPr>
    </w:p>
    <w:sectPr w:rsidR="00D84B8B">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0030101010101"/>
    <w:charset w:val="86"/>
    <w:family w:val="auto"/>
    <w:pitch w:val="variable"/>
    <w:sig w:usb0="00000001" w:usb1="080E0000" w:usb2="00000010" w:usb3="00000000" w:csb0="00040000" w:csb1="00000000"/>
  </w:font>
  <w:font w:name="仿宋">
    <w:altName w:val="仿宋_GB2312"/>
    <w:charset w:val="86"/>
    <w:family w:val="auto"/>
    <w:pitch w:val="default"/>
    <w:sig w:usb0="800002BF" w:usb1="38CF7CFA" w:usb2="00000016" w:usb3="00000000" w:csb0="00040001" w:csb1="00000000"/>
  </w:font>
  <w:font w:name="楷体">
    <w:altName w:val="楷体_GB2312"/>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DD"/>
    <w:rsid w:val="000C2865"/>
    <w:rsid w:val="00154638"/>
    <w:rsid w:val="00171862"/>
    <w:rsid w:val="0022096F"/>
    <w:rsid w:val="002734E3"/>
    <w:rsid w:val="002A083E"/>
    <w:rsid w:val="002A7603"/>
    <w:rsid w:val="002E626C"/>
    <w:rsid w:val="002F6272"/>
    <w:rsid w:val="00316D51"/>
    <w:rsid w:val="00332113"/>
    <w:rsid w:val="00447A90"/>
    <w:rsid w:val="00496636"/>
    <w:rsid w:val="006652D9"/>
    <w:rsid w:val="006E2B43"/>
    <w:rsid w:val="00734948"/>
    <w:rsid w:val="008130AC"/>
    <w:rsid w:val="0088187D"/>
    <w:rsid w:val="00906E28"/>
    <w:rsid w:val="0094602B"/>
    <w:rsid w:val="0098000B"/>
    <w:rsid w:val="0098065C"/>
    <w:rsid w:val="00996BD9"/>
    <w:rsid w:val="009F65E0"/>
    <w:rsid w:val="00A82219"/>
    <w:rsid w:val="00A85131"/>
    <w:rsid w:val="00A96E6F"/>
    <w:rsid w:val="00A975DC"/>
    <w:rsid w:val="00B62551"/>
    <w:rsid w:val="00C25787"/>
    <w:rsid w:val="00CC26DD"/>
    <w:rsid w:val="00CF2CBE"/>
    <w:rsid w:val="00CF6999"/>
    <w:rsid w:val="00D27400"/>
    <w:rsid w:val="00D34D07"/>
    <w:rsid w:val="00D50984"/>
    <w:rsid w:val="00D54C90"/>
    <w:rsid w:val="00D84B8B"/>
    <w:rsid w:val="00D860CA"/>
    <w:rsid w:val="00DB5217"/>
    <w:rsid w:val="00DF787E"/>
    <w:rsid w:val="00E500C3"/>
    <w:rsid w:val="00E5181F"/>
    <w:rsid w:val="00E5716A"/>
    <w:rsid w:val="00F9239C"/>
    <w:rsid w:val="016E2B68"/>
    <w:rsid w:val="03362153"/>
    <w:rsid w:val="04E8539D"/>
    <w:rsid w:val="131C7166"/>
    <w:rsid w:val="18947263"/>
    <w:rsid w:val="23660453"/>
    <w:rsid w:val="276B793B"/>
    <w:rsid w:val="2F4E2FA9"/>
    <w:rsid w:val="2FBB395D"/>
    <w:rsid w:val="3F6A6298"/>
    <w:rsid w:val="3FED2FEE"/>
    <w:rsid w:val="4B4A0E91"/>
    <w:rsid w:val="4FBD38DE"/>
    <w:rsid w:val="653B6D24"/>
    <w:rsid w:val="676550B0"/>
    <w:rsid w:val="6CB25261"/>
    <w:rsid w:val="74335733"/>
    <w:rsid w:val="756E1C38"/>
    <w:rsid w:val="765C3ABF"/>
    <w:rsid w:val="7B6C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pPr>
      <w:widowControl/>
    </w:pPr>
    <w:rPr>
      <w:rFonts w:cs="宋体"/>
      <w:kern w:val="0"/>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lsdException w:name="footer" w:semiHidden="0" w:uiPriority="99"/>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Date" w:semiHidden="0"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unhideWhenUsed/>
    <w:pPr>
      <w:ind w:leftChars="2500" w:left="100"/>
    </w:pPr>
  </w:style>
  <w:style w:type="paragraph" w:styleId="a4">
    <w:name w:val="Balloon Text"/>
    <w:basedOn w:val="a"/>
    <w:link w:val="Char0"/>
    <w:uiPriority w:val="99"/>
    <w:unhideWhenUs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paragraph" w:styleId="a6">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pPr>
      <w:widowControl/>
    </w:pPr>
    <w:rPr>
      <w:rFonts w:cs="宋体"/>
      <w:kern w:val="0"/>
      <w:szCs w:val="21"/>
    </w:rPr>
  </w:style>
  <w:style w:type="character" w:customStyle="1" w:styleId="Char2">
    <w:name w:val="页眉 Char"/>
    <w:basedOn w:val="a0"/>
    <w:link w:val="a6"/>
    <w:uiPriority w:val="99"/>
    <w:rPr>
      <w:sz w:val="18"/>
      <w:szCs w:val="18"/>
    </w:rPr>
  </w:style>
  <w:style w:type="character" w:customStyle="1" w:styleId="Char1">
    <w:name w:val="页脚 Char"/>
    <w:basedOn w:val="a0"/>
    <w:link w:val="a5"/>
    <w:uiPriority w:val="99"/>
    <w:rPr>
      <w:sz w:val="18"/>
      <w:szCs w:val="18"/>
    </w:rPr>
  </w:style>
  <w:style w:type="character" w:customStyle="1" w:styleId="Char">
    <w:name w:val="日期 Char"/>
    <w:basedOn w:val="a0"/>
    <w:link w:val="a3"/>
    <w:uiPriority w:val="99"/>
    <w:semiHidden/>
  </w:style>
  <w:style w:type="character" w:customStyle="1" w:styleId="Char0">
    <w:name w:val="批注框文本 Char"/>
    <w:basedOn w:val="a0"/>
    <w:link w:val="a4"/>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22528">
      <w:bodyDiv w:val="1"/>
      <w:marLeft w:val="0"/>
      <w:marRight w:val="0"/>
      <w:marTop w:val="0"/>
      <w:marBottom w:val="0"/>
      <w:divBdr>
        <w:top w:val="none" w:sz="0" w:space="0" w:color="auto"/>
        <w:left w:val="none" w:sz="0" w:space="0" w:color="auto"/>
        <w:bottom w:val="none" w:sz="0" w:space="0" w:color="auto"/>
        <w:right w:val="none" w:sz="0" w:space="0" w:color="auto"/>
      </w:divBdr>
      <w:divsChild>
        <w:div w:id="1709136027">
          <w:marLeft w:val="0"/>
          <w:marRight w:val="0"/>
          <w:marTop w:val="0"/>
          <w:marBottom w:val="375"/>
          <w:divBdr>
            <w:top w:val="single" w:sz="6" w:space="0" w:color="DDDDDD"/>
            <w:left w:val="none" w:sz="0" w:space="0" w:color="auto"/>
            <w:bottom w:val="single" w:sz="6" w:space="0" w:color="DDDDDD"/>
            <w:right w:val="none" w:sz="0" w:space="0" w:color="auto"/>
          </w:divBdr>
        </w:div>
        <w:div w:id="277756403">
          <w:marLeft w:val="0"/>
          <w:marRight w:val="0"/>
          <w:marTop w:val="0"/>
          <w:marBottom w:val="0"/>
          <w:divBdr>
            <w:top w:val="none" w:sz="0" w:space="0" w:color="auto"/>
            <w:left w:val="none" w:sz="0" w:space="0" w:color="auto"/>
            <w:bottom w:val="none" w:sz="0" w:space="0" w:color="auto"/>
            <w:right w:val="none" w:sz="0" w:space="0" w:color="auto"/>
          </w:divBdr>
          <w:divsChild>
            <w:div w:id="14348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134729">
      <w:bodyDiv w:val="1"/>
      <w:marLeft w:val="0"/>
      <w:marRight w:val="0"/>
      <w:marTop w:val="0"/>
      <w:marBottom w:val="0"/>
      <w:divBdr>
        <w:top w:val="none" w:sz="0" w:space="0" w:color="auto"/>
        <w:left w:val="none" w:sz="0" w:space="0" w:color="auto"/>
        <w:bottom w:val="none" w:sz="0" w:space="0" w:color="auto"/>
        <w:right w:val="none" w:sz="0" w:space="0" w:color="auto"/>
      </w:divBdr>
      <w:divsChild>
        <w:div w:id="1752697927">
          <w:marLeft w:val="0"/>
          <w:marRight w:val="0"/>
          <w:marTop w:val="0"/>
          <w:marBottom w:val="375"/>
          <w:divBdr>
            <w:top w:val="single" w:sz="6" w:space="0" w:color="DDDDDD"/>
            <w:left w:val="none" w:sz="0" w:space="0" w:color="auto"/>
            <w:bottom w:val="single" w:sz="6" w:space="0" w:color="DDDDDD"/>
            <w:right w:val="none" w:sz="0" w:space="0" w:color="auto"/>
          </w:divBdr>
        </w:div>
        <w:div w:id="669259557">
          <w:marLeft w:val="0"/>
          <w:marRight w:val="0"/>
          <w:marTop w:val="0"/>
          <w:marBottom w:val="0"/>
          <w:divBdr>
            <w:top w:val="none" w:sz="0" w:space="0" w:color="auto"/>
            <w:left w:val="none" w:sz="0" w:space="0" w:color="auto"/>
            <w:bottom w:val="none" w:sz="0" w:space="0" w:color="auto"/>
            <w:right w:val="none" w:sz="0" w:space="0" w:color="auto"/>
          </w:divBdr>
          <w:divsChild>
            <w:div w:id="208413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661942">
      <w:bodyDiv w:val="1"/>
      <w:marLeft w:val="0"/>
      <w:marRight w:val="0"/>
      <w:marTop w:val="0"/>
      <w:marBottom w:val="0"/>
      <w:divBdr>
        <w:top w:val="none" w:sz="0" w:space="0" w:color="auto"/>
        <w:left w:val="none" w:sz="0" w:space="0" w:color="auto"/>
        <w:bottom w:val="none" w:sz="0" w:space="0" w:color="auto"/>
        <w:right w:val="none" w:sz="0" w:space="0" w:color="auto"/>
      </w:divBdr>
      <w:divsChild>
        <w:div w:id="916597058">
          <w:marLeft w:val="0"/>
          <w:marRight w:val="0"/>
          <w:marTop w:val="0"/>
          <w:marBottom w:val="375"/>
          <w:divBdr>
            <w:top w:val="single" w:sz="6" w:space="0" w:color="DDDDDD"/>
            <w:left w:val="none" w:sz="0" w:space="0" w:color="auto"/>
            <w:bottom w:val="single" w:sz="6" w:space="0" w:color="DDDDDD"/>
            <w:right w:val="none" w:sz="0" w:space="0" w:color="auto"/>
          </w:divBdr>
        </w:div>
        <w:div w:id="1653870132">
          <w:marLeft w:val="0"/>
          <w:marRight w:val="0"/>
          <w:marTop w:val="0"/>
          <w:marBottom w:val="0"/>
          <w:divBdr>
            <w:top w:val="none" w:sz="0" w:space="0" w:color="auto"/>
            <w:left w:val="none" w:sz="0" w:space="0" w:color="auto"/>
            <w:bottom w:val="none" w:sz="0" w:space="0" w:color="auto"/>
            <w:right w:val="none" w:sz="0" w:space="0" w:color="auto"/>
          </w:divBdr>
          <w:divsChild>
            <w:div w:id="145975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1</Pages>
  <Words>160</Words>
  <Characters>916</Characters>
  <Application>Microsoft Office Word</Application>
  <DocSecurity>0</DocSecurity>
  <Lines>7</Lines>
  <Paragraphs>2</Paragraphs>
  <ScaleCrop>false</ScaleCrop>
  <Company>China</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关于组织开展2015年度辽宁省博士科研启动基金项目结题验收工作的通知</dc:title>
  <dc:creator>grate</dc:creator>
  <cp:lastModifiedBy>User</cp:lastModifiedBy>
  <cp:revision>34</cp:revision>
  <cp:lastPrinted>2014-10-29T08:13:00Z</cp:lastPrinted>
  <dcterms:created xsi:type="dcterms:W3CDTF">2015-10-16T02:41:00Z</dcterms:created>
  <dcterms:modified xsi:type="dcterms:W3CDTF">2015-10-20T08:55:00Z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