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44"/>
          <w:szCs w:val="44"/>
        </w:rPr>
      </w:pPr>
    </w:p>
    <w:p>
      <w:pPr>
        <w:jc w:val="center"/>
        <w:rPr>
          <w:b/>
          <w:sz w:val="44"/>
          <w:szCs w:val="44"/>
        </w:rPr>
      </w:pPr>
    </w:p>
    <w:p>
      <w:pPr>
        <w:jc w:val="center"/>
        <w:rPr>
          <w:b/>
          <w:sz w:val="44"/>
          <w:szCs w:val="44"/>
        </w:rPr>
      </w:pPr>
    </w:p>
    <w:p>
      <w:pPr>
        <w:jc w:val="center"/>
        <w:rPr>
          <w:rFonts w:hint="eastAsia"/>
          <w:b/>
          <w:sz w:val="44"/>
          <w:szCs w:val="44"/>
          <w:lang w:eastAsia="zh-CN"/>
        </w:rPr>
      </w:pPr>
      <w:r>
        <w:rPr>
          <w:rFonts w:hint="eastAsia"/>
          <w:b/>
          <w:sz w:val="44"/>
          <w:szCs w:val="44"/>
        </w:rPr>
        <w:t>关于组织开展2015年度辽宁省</w:t>
      </w:r>
      <w:r>
        <w:rPr>
          <w:rFonts w:hint="eastAsia"/>
          <w:b/>
          <w:sz w:val="44"/>
          <w:szCs w:val="44"/>
          <w:lang w:eastAsia="zh-CN"/>
        </w:rPr>
        <w:t>博士科研</w:t>
      </w:r>
    </w:p>
    <w:p>
      <w:pPr>
        <w:jc w:val="center"/>
        <w:rPr>
          <w:b/>
          <w:sz w:val="44"/>
          <w:szCs w:val="44"/>
        </w:rPr>
      </w:pPr>
      <w:r>
        <w:rPr>
          <w:rFonts w:hint="eastAsia"/>
          <w:b/>
          <w:sz w:val="44"/>
          <w:szCs w:val="44"/>
          <w:lang w:eastAsia="zh-CN"/>
        </w:rPr>
        <w:t>启动</w:t>
      </w:r>
      <w:r>
        <w:rPr>
          <w:rFonts w:hint="eastAsia"/>
          <w:b/>
          <w:sz w:val="44"/>
          <w:szCs w:val="44"/>
        </w:rPr>
        <w:t>基金项目结题验收工作的通知</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各有关单位：</w:t>
      </w:r>
    </w:p>
    <w:p>
      <w:pPr>
        <w:pStyle w:val="9"/>
        <w:ind w:left="640" w:hanging="640" w:hangingChars="200"/>
        <w:rPr>
          <w:rFonts w:hint="eastAsia" w:ascii="仿宋" w:hAnsi="仿宋" w:eastAsia="仿宋"/>
          <w:sz w:val="32"/>
          <w:szCs w:val="32"/>
          <w:lang w:eastAsia="zh-CN"/>
        </w:rPr>
      </w:pPr>
      <w:r>
        <w:rPr>
          <w:rFonts w:hint="eastAsia" w:ascii="仿宋" w:hAnsi="仿宋" w:eastAsia="仿宋"/>
          <w:sz w:val="32"/>
          <w:szCs w:val="32"/>
        </w:rPr>
        <w:t xml:space="preserve">    为进一步加强辽宁省</w:t>
      </w:r>
      <w:r>
        <w:rPr>
          <w:rFonts w:hint="eastAsia" w:ascii="仿宋" w:hAnsi="仿宋" w:eastAsia="仿宋"/>
          <w:sz w:val="32"/>
          <w:szCs w:val="32"/>
          <w:lang w:eastAsia="zh-CN"/>
        </w:rPr>
        <w:t>博士科研启动</w:t>
      </w:r>
      <w:r>
        <w:rPr>
          <w:rFonts w:hint="eastAsia" w:ascii="仿宋" w:hAnsi="仿宋" w:eastAsia="仿宋"/>
          <w:sz w:val="32"/>
          <w:szCs w:val="32"/>
        </w:rPr>
        <w:t>基金计划</w:t>
      </w:r>
      <w:r>
        <w:rPr>
          <w:rFonts w:hint="eastAsia" w:ascii="仿宋" w:hAnsi="仿宋" w:eastAsia="仿宋"/>
          <w:sz w:val="32"/>
          <w:szCs w:val="32"/>
          <w:lang w:eastAsia="zh-CN"/>
        </w:rPr>
        <w:t>（简称“省</w:t>
      </w:r>
    </w:p>
    <w:p>
      <w:pPr>
        <w:pStyle w:val="9"/>
        <w:ind w:left="640" w:hanging="640" w:hangingChars="200"/>
        <w:rPr>
          <w:rFonts w:hint="eastAsia" w:ascii="仿宋_GB2312" w:eastAsia="仿宋_GB2312"/>
          <w:sz w:val="32"/>
          <w:szCs w:val="32"/>
        </w:rPr>
      </w:pPr>
      <w:r>
        <w:rPr>
          <w:rFonts w:hint="eastAsia" w:ascii="仿宋" w:hAnsi="仿宋" w:eastAsia="仿宋"/>
          <w:sz w:val="32"/>
          <w:szCs w:val="32"/>
          <w:lang w:eastAsia="zh-CN"/>
        </w:rPr>
        <w:t>博士基金计划”）</w:t>
      </w:r>
      <w:r>
        <w:rPr>
          <w:rFonts w:hint="eastAsia" w:ascii="仿宋" w:hAnsi="仿宋" w:eastAsia="仿宋"/>
          <w:sz w:val="32"/>
          <w:szCs w:val="32"/>
        </w:rPr>
        <w:t>项目的组织与跟踪管理工作，</w:t>
      </w:r>
      <w:r>
        <w:rPr>
          <w:rFonts w:hint="eastAsia" w:ascii="仿宋_GB2312" w:eastAsia="仿宋_GB2312"/>
          <w:sz w:val="32"/>
          <w:szCs w:val="32"/>
        </w:rPr>
        <w:t>按照《辽宁</w:t>
      </w:r>
    </w:p>
    <w:p>
      <w:pPr>
        <w:pStyle w:val="9"/>
        <w:ind w:left="640" w:hanging="640" w:hangingChars="200"/>
        <w:rPr>
          <w:rFonts w:hint="eastAsia" w:ascii="仿宋" w:hAnsi="仿宋" w:eastAsia="仿宋"/>
          <w:sz w:val="32"/>
          <w:szCs w:val="32"/>
        </w:rPr>
      </w:pPr>
      <w:r>
        <w:rPr>
          <w:rFonts w:hint="eastAsia" w:ascii="仿宋_GB2312" w:eastAsia="仿宋_GB2312"/>
          <w:sz w:val="32"/>
          <w:szCs w:val="32"/>
        </w:rPr>
        <w:t>省科学技术基金项目管理办法》要求，</w:t>
      </w:r>
      <w:r>
        <w:rPr>
          <w:rFonts w:hint="eastAsia" w:ascii="仿宋" w:hAnsi="仿宋" w:eastAsia="仿宋"/>
          <w:sz w:val="32"/>
          <w:szCs w:val="32"/>
        </w:rPr>
        <w:t>经研究，决定对</w:t>
      </w:r>
    </w:p>
    <w:p>
      <w:pPr>
        <w:pStyle w:val="9"/>
        <w:ind w:left="640" w:hanging="640" w:hangingChars="200"/>
        <w:rPr>
          <w:rFonts w:hint="eastAsia" w:ascii="仿宋" w:hAnsi="仿宋" w:eastAsia="仿宋"/>
          <w:sz w:val="32"/>
          <w:szCs w:val="32"/>
        </w:rPr>
      </w:pPr>
      <w:r>
        <w:rPr>
          <w:rFonts w:hint="eastAsia" w:ascii="仿宋" w:hAnsi="仿宋" w:eastAsia="仿宋"/>
          <w:sz w:val="32"/>
          <w:szCs w:val="32"/>
        </w:rPr>
        <w:t>2012-2013年度省</w:t>
      </w:r>
      <w:r>
        <w:rPr>
          <w:rFonts w:hint="eastAsia" w:ascii="仿宋" w:hAnsi="仿宋" w:eastAsia="仿宋"/>
          <w:sz w:val="32"/>
          <w:szCs w:val="32"/>
          <w:lang w:eastAsia="zh-CN"/>
        </w:rPr>
        <w:t>博士</w:t>
      </w:r>
      <w:r>
        <w:rPr>
          <w:rFonts w:hint="eastAsia" w:ascii="仿宋" w:hAnsi="仿宋" w:eastAsia="仿宋"/>
          <w:sz w:val="32"/>
          <w:szCs w:val="32"/>
        </w:rPr>
        <w:t>基金计划项目开展结题验收工作。现</w:t>
      </w:r>
    </w:p>
    <w:p>
      <w:pPr>
        <w:pStyle w:val="9"/>
        <w:ind w:left="640" w:hanging="640" w:hangingChars="200"/>
        <w:rPr>
          <w:rFonts w:ascii="仿宋" w:hAnsi="仿宋" w:eastAsia="仿宋"/>
          <w:sz w:val="32"/>
          <w:szCs w:val="32"/>
        </w:rPr>
      </w:pPr>
      <w:r>
        <w:rPr>
          <w:rFonts w:hint="eastAsia" w:ascii="仿宋" w:hAnsi="仿宋" w:eastAsia="仿宋"/>
          <w:sz w:val="32"/>
          <w:szCs w:val="32"/>
        </w:rPr>
        <w:t>将有关事宜通知如下：</w:t>
      </w:r>
    </w:p>
    <w:p>
      <w:pPr>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 xml:space="preserve"> 一、结题验收的范围</w:t>
      </w:r>
    </w:p>
    <w:p>
      <w:pPr>
        <w:rPr>
          <w:rFonts w:ascii="仿宋" w:hAnsi="仿宋" w:eastAsia="仿宋"/>
          <w:sz w:val="32"/>
          <w:szCs w:val="32"/>
        </w:rPr>
      </w:pPr>
      <w:r>
        <w:rPr>
          <w:rFonts w:hint="eastAsia" w:ascii="仿宋" w:hAnsi="仿宋" w:eastAsia="仿宋"/>
          <w:sz w:val="32"/>
          <w:szCs w:val="32"/>
        </w:rPr>
        <w:t xml:space="preserve">    1.2012和2013年度下达，已到期的省</w:t>
      </w:r>
      <w:r>
        <w:rPr>
          <w:rFonts w:hint="eastAsia" w:ascii="仿宋" w:hAnsi="仿宋" w:eastAsia="仿宋"/>
          <w:sz w:val="32"/>
          <w:szCs w:val="32"/>
          <w:lang w:eastAsia="zh-CN"/>
        </w:rPr>
        <w:t>博士</w:t>
      </w:r>
      <w:r>
        <w:rPr>
          <w:rFonts w:hint="eastAsia" w:ascii="仿宋" w:hAnsi="仿宋" w:eastAsia="仿宋"/>
          <w:sz w:val="32"/>
          <w:szCs w:val="32"/>
        </w:rPr>
        <w:t>基金项目;</w:t>
      </w:r>
    </w:p>
    <w:p>
      <w:pPr>
        <w:rPr>
          <w:rFonts w:ascii="仿宋" w:hAnsi="仿宋" w:eastAsia="仿宋"/>
          <w:sz w:val="32"/>
          <w:szCs w:val="32"/>
        </w:rPr>
      </w:pPr>
      <w:r>
        <w:rPr>
          <w:rFonts w:hint="eastAsia" w:ascii="仿宋" w:hAnsi="仿宋" w:eastAsia="仿宋"/>
          <w:sz w:val="32"/>
          <w:szCs w:val="32"/>
        </w:rPr>
        <w:t xml:space="preserve">    2.</w:t>
      </w:r>
      <w:r>
        <w:rPr>
          <w:rFonts w:hint="eastAsia" w:ascii="仿宋" w:hAnsi="仿宋" w:eastAsia="仿宋"/>
          <w:color w:val="auto"/>
          <w:sz w:val="32"/>
          <w:szCs w:val="32"/>
        </w:rPr>
        <w:t>2011年度下达，提出延期结题的省</w:t>
      </w:r>
      <w:r>
        <w:rPr>
          <w:rFonts w:hint="eastAsia" w:ascii="仿宋" w:hAnsi="仿宋" w:eastAsia="仿宋"/>
          <w:color w:val="auto"/>
          <w:sz w:val="32"/>
          <w:szCs w:val="32"/>
          <w:lang w:eastAsia="zh-CN"/>
        </w:rPr>
        <w:t>博士</w:t>
      </w:r>
      <w:r>
        <w:rPr>
          <w:rFonts w:hint="eastAsia" w:ascii="仿宋" w:hAnsi="仿宋" w:eastAsia="仿宋"/>
          <w:color w:val="auto"/>
          <w:sz w:val="32"/>
          <w:szCs w:val="32"/>
        </w:rPr>
        <w:t>基金项目。</w:t>
      </w:r>
    </w:p>
    <w:p>
      <w:pPr>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 xml:space="preserve"> 二、结题验收的内容</w:t>
      </w:r>
    </w:p>
    <w:p>
      <w:pPr>
        <w:ind w:firstLine="640" w:firstLineChars="200"/>
        <w:rPr>
          <w:rFonts w:ascii="仿宋" w:hAnsi="仿宋" w:eastAsia="仿宋"/>
          <w:sz w:val="32"/>
          <w:szCs w:val="32"/>
        </w:rPr>
      </w:pPr>
      <w:r>
        <w:rPr>
          <w:rFonts w:hint="eastAsia" w:ascii="仿宋" w:hAnsi="仿宋" w:eastAsia="仿宋"/>
          <w:sz w:val="32"/>
          <w:szCs w:val="32"/>
        </w:rPr>
        <w:t>审查基金项目执行情况、主要进展与成果、人才培养、合作交流及经费使用等方面情况，总结取得的主要成绩和存在的问题。</w:t>
      </w:r>
    </w:p>
    <w:p>
      <w:pPr>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 xml:space="preserve"> 三、结题验收的程序</w:t>
      </w:r>
    </w:p>
    <w:p>
      <w:pPr>
        <w:pStyle w:val="9"/>
        <w:rPr>
          <w:rFonts w:hint="eastAsia" w:ascii="仿宋_GB2312" w:hAnsi="仿宋"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1.申请辽宁省博士科研启动基金项目的结题验收需登陆辽宁省科 学  技  术  计  划  项  目  管  理  信息系统（</w:t>
      </w: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HYPERLINK "http://kjjh.lninfo.gov.cn/" </w:instrText>
      </w:r>
      <w:r>
        <w:rPr>
          <w:rFonts w:hint="eastAsia" w:ascii="仿宋_GB2312" w:hAnsi="宋体" w:eastAsia="仿宋_GB2312"/>
          <w:sz w:val="32"/>
          <w:szCs w:val="32"/>
        </w:rPr>
        <w:fldChar w:fldCharType="separate"/>
      </w:r>
      <w:r>
        <w:rPr>
          <w:rFonts w:hint="eastAsia" w:ascii="仿宋_GB2312" w:hAnsi="宋体" w:eastAsia="仿宋_GB2312"/>
          <w:sz w:val="32"/>
          <w:szCs w:val="32"/>
          <w:u w:val="single"/>
        </w:rPr>
        <w:t>http://kjjh.lninfo.gov.cn/</w:t>
      </w:r>
      <w:r>
        <w:rPr>
          <w:rFonts w:hint="eastAsia" w:ascii="仿宋_GB2312" w:hAnsi="宋体" w:eastAsia="仿宋_GB2312"/>
          <w:sz w:val="32"/>
          <w:szCs w:val="32"/>
        </w:rPr>
        <w:fldChar w:fldCharType="end"/>
      </w:r>
      <w:r>
        <w:rPr>
          <w:rFonts w:hint="eastAsia" w:ascii="仿宋_GB2312" w:hAnsi="宋体" w:eastAsia="仿宋_GB2312"/>
          <w:sz w:val="32"/>
          <w:szCs w:val="32"/>
        </w:rPr>
        <w:t>），按要求填报《辽宁省博士科研启动基金项目结题报告》（以下简称《结题报告》）。</w:t>
      </w:r>
      <w:r>
        <w:rPr>
          <w:rFonts w:hint="eastAsia" w:ascii="仿宋_GB2312" w:hAnsi="宋体" w:eastAsia="仿宋_GB2312"/>
          <w:sz w:val="32"/>
          <w:szCs w:val="32"/>
        </w:rPr>
        <w:br/>
      </w:r>
      <w:r>
        <w:rPr>
          <w:rFonts w:hint="eastAsia" w:ascii="仿宋_GB2312" w:hAnsi="宋体" w:eastAsia="仿宋_GB2312"/>
          <w:sz w:val="32"/>
          <w:szCs w:val="32"/>
          <w:lang w:val="en-US" w:eastAsia="zh-CN"/>
        </w:rPr>
        <w:t xml:space="preserve">    </w:t>
      </w:r>
      <w:r>
        <w:rPr>
          <w:rFonts w:hint="eastAsia" w:ascii="仿宋_GB2312" w:hAnsi="仿宋" w:eastAsia="仿宋_GB2312"/>
          <w:sz w:val="32"/>
          <w:szCs w:val="32"/>
        </w:rPr>
        <w:t>2.基金项目初审推荐单位在辽宁省科学技术计划项目管理信息系统中对本单位申请验收项目的结题报告进行审核。</w:t>
      </w:r>
    </w:p>
    <w:p>
      <w:pPr>
        <w:pStyle w:val="9"/>
        <w:rPr>
          <w:rFonts w:ascii="仿宋" w:hAnsi="仿宋" w:eastAsia="仿宋"/>
          <w:sz w:val="32"/>
          <w:szCs w:val="32"/>
        </w:rPr>
      </w:pPr>
      <w:r>
        <w:rPr>
          <w:rFonts w:hint="eastAsia" w:ascii="宋体" w:hAnsi="宋体" w:eastAsia="仿宋_GB2312"/>
          <w:sz w:val="32"/>
          <w:szCs w:val="32"/>
        </w:rPr>
        <w:t xml:space="preserve">    </w:t>
      </w:r>
      <w:r>
        <w:rPr>
          <w:rFonts w:hint="eastAsia" w:ascii="仿宋_GB2312" w:hAnsi="仿宋" w:eastAsia="仿宋_GB2312"/>
          <w:sz w:val="32"/>
          <w:szCs w:val="32"/>
        </w:rPr>
        <w:t>3.省科技厅对经过初审的结题报告进行复审，并将通过复审的项目提交评估机构，聘请专家对符合结题验收条件的基金项目进行集中网络评审论证。</w:t>
      </w:r>
    </w:p>
    <w:p>
      <w:pPr>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四、结题验收的要求</w:t>
      </w:r>
    </w:p>
    <w:p>
      <w:pPr>
        <w:rPr>
          <w:rFonts w:ascii="仿宋" w:hAnsi="仿宋" w:eastAsia="仿宋"/>
          <w:sz w:val="32"/>
          <w:szCs w:val="32"/>
        </w:rPr>
      </w:pPr>
      <w:r>
        <w:rPr>
          <w:rFonts w:hint="eastAsia" w:ascii="仿宋" w:hAnsi="仿宋" w:eastAsia="仿宋"/>
          <w:sz w:val="32"/>
          <w:szCs w:val="32"/>
        </w:rPr>
        <w:t xml:space="preserve">    1．在线填写《结题报告》截止时间为2015年11月2日；初审推荐单位网上审核、推荐文件截止时间为11月6日。</w:t>
      </w:r>
    </w:p>
    <w:p>
      <w:pPr>
        <w:rPr>
          <w:rFonts w:ascii="仿宋" w:hAnsi="仿宋" w:eastAsia="仿宋"/>
          <w:sz w:val="32"/>
          <w:szCs w:val="32"/>
        </w:rPr>
      </w:pPr>
      <w:r>
        <w:rPr>
          <w:rFonts w:hint="eastAsia" w:ascii="仿宋" w:hAnsi="仿宋" w:eastAsia="仿宋"/>
          <w:sz w:val="32"/>
          <w:szCs w:val="32"/>
        </w:rPr>
        <w:t xml:space="preserve">    2．不能按照规定时间完成验收结题的项目，初审单位请在附件中加以明确并加盖公章。</w:t>
      </w:r>
    </w:p>
    <w:p>
      <w:pPr>
        <w:rPr>
          <w:rFonts w:ascii="仿宋" w:hAnsi="仿宋" w:eastAsia="仿宋"/>
          <w:sz w:val="32"/>
          <w:szCs w:val="32"/>
        </w:rPr>
      </w:pPr>
      <w:r>
        <w:rPr>
          <w:rFonts w:hint="eastAsia" w:ascii="仿宋" w:hAnsi="仿宋" w:eastAsia="仿宋"/>
          <w:sz w:val="32"/>
          <w:szCs w:val="32"/>
        </w:rPr>
        <w:t xml:space="preserve">    3．对未结题的基金项目承担人，项目各依托单位不得推荐其申报下一年度的辽宁省科技计划项目；对无故不结题的项目承担人，不得推荐其申报</w:t>
      </w:r>
      <w:r>
        <w:rPr>
          <w:rFonts w:hint="eastAsia" w:ascii="仿宋" w:hAnsi="仿宋" w:eastAsia="仿宋"/>
          <w:color w:val="auto"/>
          <w:sz w:val="32"/>
          <w:szCs w:val="32"/>
        </w:rPr>
        <w:t>今后年度任何计划类别</w:t>
      </w:r>
      <w:r>
        <w:rPr>
          <w:rFonts w:hint="eastAsia" w:ascii="仿宋" w:hAnsi="仿宋" w:eastAsia="仿宋"/>
          <w:sz w:val="32"/>
          <w:szCs w:val="32"/>
        </w:rPr>
        <w:t>的省本级科技项目。对于未能履行项目管理职责的初审单位，我厅将按照有关规定，视情况相应给予惩戒，并在下一年度计划申报中减少其推荐名额，情节严重的将取消其初审单位资格。</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lang w:eastAsia="zh-CN"/>
        </w:rPr>
      </w:pPr>
      <w:bookmarkStart w:id="0" w:name="_GoBack"/>
      <w:bookmarkEnd w:id="0"/>
      <w:r>
        <w:rPr>
          <w:rFonts w:hint="eastAsia" w:ascii="仿宋" w:hAnsi="仿宋" w:eastAsia="仿宋"/>
          <w:sz w:val="32"/>
          <w:szCs w:val="32"/>
        </w:rPr>
        <w:t xml:space="preserve">联系人： </w:t>
      </w:r>
      <w:r>
        <w:rPr>
          <w:rFonts w:hint="eastAsia" w:ascii="仿宋" w:hAnsi="仿宋" w:eastAsia="仿宋"/>
          <w:sz w:val="32"/>
          <w:szCs w:val="32"/>
          <w:lang w:eastAsia="zh-CN"/>
        </w:rPr>
        <w:t>关楠楠</w:t>
      </w:r>
    </w:p>
    <w:p>
      <w:pPr>
        <w:ind w:firstLine="640" w:firstLineChars="200"/>
        <w:rPr>
          <w:rFonts w:ascii="仿宋" w:hAnsi="仿宋" w:eastAsia="仿宋"/>
          <w:sz w:val="32"/>
          <w:szCs w:val="32"/>
        </w:rPr>
      </w:pPr>
      <w:r>
        <w:rPr>
          <w:rFonts w:hint="eastAsia" w:ascii="仿宋" w:hAnsi="仿宋" w:eastAsia="仿宋"/>
          <w:sz w:val="32"/>
          <w:szCs w:val="32"/>
        </w:rPr>
        <w:t>电  话： 024-23983</w:t>
      </w:r>
      <w:r>
        <w:rPr>
          <w:rFonts w:hint="eastAsia" w:ascii="仿宋" w:hAnsi="仿宋" w:eastAsia="仿宋"/>
          <w:sz w:val="32"/>
          <w:szCs w:val="32"/>
          <w:lang w:val="en-US" w:eastAsia="zh-CN"/>
        </w:rPr>
        <w:t>140</w:t>
      </w:r>
      <w:r>
        <w:rPr>
          <w:rFonts w:hint="eastAsia" w:ascii="仿宋" w:hAnsi="仿宋" w:eastAsia="仿宋"/>
          <w:sz w:val="32"/>
          <w:szCs w:val="32"/>
        </w:rPr>
        <w:t xml:space="preserve">    </w:t>
      </w:r>
    </w:p>
    <w:p>
      <w:pPr>
        <w:ind w:firstLine="645"/>
        <w:rPr>
          <w:rFonts w:ascii="仿宋" w:hAnsi="仿宋" w:eastAsia="仿宋"/>
          <w:sz w:val="32"/>
          <w:szCs w:val="32"/>
        </w:rPr>
      </w:pPr>
      <w:r>
        <w:rPr>
          <w:rFonts w:hint="eastAsia" w:ascii="仿宋" w:hAnsi="仿宋" w:eastAsia="仿宋"/>
          <w:sz w:val="32"/>
          <w:szCs w:val="32"/>
        </w:rPr>
        <w:t>通讯地址：沈阳市和平区三好街24号（110004）</w:t>
      </w:r>
    </w:p>
    <w:p>
      <w:pPr>
        <w:ind w:firstLine="645"/>
        <w:rPr>
          <w:rFonts w:ascii="仿宋" w:hAnsi="仿宋" w:eastAsia="仿宋"/>
          <w:sz w:val="32"/>
          <w:szCs w:val="32"/>
        </w:rPr>
      </w:pPr>
    </w:p>
    <w:p>
      <w:pPr>
        <w:ind w:firstLine="645"/>
        <w:rPr>
          <w:rFonts w:ascii="仿宋" w:hAnsi="仿宋" w:eastAsia="仿宋"/>
          <w:sz w:val="32"/>
          <w:szCs w:val="32"/>
        </w:rPr>
      </w:pPr>
      <w:r>
        <w:rPr>
          <w:rFonts w:hint="eastAsia" w:ascii="仿宋" w:hAnsi="仿宋" w:eastAsia="仿宋"/>
          <w:sz w:val="32"/>
          <w:szCs w:val="32"/>
        </w:rPr>
        <w:t>附件：辽宁省</w:t>
      </w:r>
      <w:r>
        <w:rPr>
          <w:rFonts w:hint="eastAsia" w:ascii="仿宋" w:hAnsi="仿宋" w:eastAsia="仿宋"/>
          <w:sz w:val="32"/>
          <w:szCs w:val="32"/>
          <w:lang w:eastAsia="zh-CN"/>
        </w:rPr>
        <w:t>博士</w:t>
      </w:r>
      <w:r>
        <w:rPr>
          <w:rFonts w:hint="eastAsia" w:ascii="仿宋" w:hAnsi="仿宋" w:eastAsia="仿宋"/>
          <w:sz w:val="32"/>
          <w:szCs w:val="32"/>
        </w:rPr>
        <w:t>基金结题情况表</w:t>
      </w: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5280" w:firstLineChars="1650"/>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人</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事</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处</w:t>
      </w:r>
    </w:p>
    <w:p>
      <w:pPr>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lang w:val="en-US" w:eastAsia="zh-CN"/>
        </w:rPr>
        <w:t xml:space="preserve">                              </w:t>
      </w:r>
      <w:r>
        <w:rPr>
          <w:rFonts w:ascii="仿宋" w:hAnsi="仿宋" w:eastAsia="仿宋"/>
          <w:sz w:val="32"/>
          <w:szCs w:val="32"/>
        </w:rPr>
        <w:t>201</w:t>
      </w:r>
      <w:r>
        <w:rPr>
          <w:rFonts w:hint="eastAsia" w:ascii="仿宋" w:hAnsi="仿宋" w:eastAsia="仿宋"/>
          <w:sz w:val="32"/>
          <w:szCs w:val="32"/>
        </w:rPr>
        <w:t>5</w:t>
      </w:r>
      <w:r>
        <w:rPr>
          <w:rFonts w:ascii="仿宋" w:hAnsi="仿宋" w:eastAsia="仿宋"/>
          <w:sz w:val="32"/>
          <w:szCs w:val="32"/>
        </w:rPr>
        <w:t>年10月</w:t>
      </w:r>
      <w:r>
        <w:rPr>
          <w:rFonts w:hint="eastAsia" w:ascii="仿宋" w:hAnsi="仿宋" w:eastAsia="仿宋"/>
          <w:sz w:val="32"/>
          <w:szCs w:val="32"/>
          <w:lang w:val="en-US" w:eastAsia="zh-CN"/>
        </w:rPr>
        <w:t>16</w:t>
      </w:r>
      <w:r>
        <w:rPr>
          <w:rFonts w:hint="eastAsia" w:ascii="仿宋" w:hAnsi="仿宋" w:eastAsia="仿宋"/>
          <w:sz w:val="32"/>
          <w:szCs w:val="32"/>
        </w:rPr>
        <w:t>日</w:t>
      </w:r>
    </w:p>
    <w:p>
      <w:pPr>
        <w:jc w:val="left"/>
        <w:rPr>
          <w:rFonts w:hint="eastAsia" w:ascii="黑体" w:hAnsi="黑体" w:eastAsia="黑体"/>
          <w:sz w:val="28"/>
          <w:szCs w:val="28"/>
        </w:rPr>
      </w:pPr>
    </w:p>
    <w:p>
      <w:pPr>
        <w:jc w:val="left"/>
        <w:rPr>
          <w:rFonts w:hint="eastAsia" w:ascii="黑体" w:hAnsi="黑体" w:eastAsia="黑体"/>
          <w:sz w:val="28"/>
          <w:szCs w:val="28"/>
        </w:rPr>
      </w:pPr>
    </w:p>
    <w:p>
      <w:pPr>
        <w:jc w:val="left"/>
        <w:rPr>
          <w:rFonts w:ascii="黑体" w:hAnsi="黑体" w:eastAsia="黑体"/>
          <w:sz w:val="28"/>
          <w:szCs w:val="28"/>
        </w:rPr>
      </w:pPr>
      <w:r>
        <w:rPr>
          <w:rFonts w:hint="eastAsia" w:ascii="黑体" w:hAnsi="黑体" w:eastAsia="黑体"/>
          <w:sz w:val="28"/>
          <w:szCs w:val="28"/>
        </w:rPr>
        <w:t>附件</w:t>
      </w:r>
    </w:p>
    <w:p>
      <w:pPr>
        <w:jc w:val="center"/>
        <w:rPr>
          <w:rFonts w:ascii="黑体" w:hAnsi="黑体" w:eastAsia="黑体"/>
          <w:sz w:val="36"/>
          <w:szCs w:val="36"/>
        </w:rPr>
      </w:pPr>
      <w:r>
        <w:rPr>
          <w:rFonts w:hint="eastAsia" w:ascii="黑体" w:hAnsi="黑体" w:eastAsia="黑体"/>
          <w:sz w:val="36"/>
          <w:szCs w:val="36"/>
        </w:rPr>
        <w:t>辽宁省</w:t>
      </w:r>
      <w:r>
        <w:rPr>
          <w:rFonts w:hint="eastAsia" w:ascii="黑体" w:hAnsi="黑体" w:eastAsia="黑体"/>
          <w:sz w:val="36"/>
          <w:szCs w:val="36"/>
          <w:lang w:eastAsia="zh-CN"/>
        </w:rPr>
        <w:t>博士</w:t>
      </w:r>
      <w:r>
        <w:rPr>
          <w:rFonts w:hint="eastAsia" w:ascii="黑体" w:hAnsi="黑体" w:eastAsia="黑体"/>
          <w:sz w:val="36"/>
          <w:szCs w:val="36"/>
        </w:rPr>
        <w:t>基金结题情况表</w:t>
      </w:r>
    </w:p>
    <w:p>
      <w:pPr>
        <w:rPr>
          <w:rFonts w:ascii="楷体" w:hAnsi="楷体" w:eastAsia="楷体"/>
          <w:sz w:val="28"/>
          <w:szCs w:val="28"/>
        </w:rPr>
      </w:pPr>
      <w:r>
        <w:rPr>
          <w:rFonts w:hint="eastAsia" w:ascii="楷体" w:hAnsi="楷体" w:eastAsia="楷体"/>
          <w:sz w:val="28"/>
          <w:szCs w:val="28"/>
        </w:rPr>
        <w:t>初审单位: (盖章)</w:t>
      </w:r>
    </w:p>
    <w:tbl>
      <w:tblPr>
        <w:tblStyle w:val="8"/>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977"/>
        <w:gridCol w:w="146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ascii="黑体" w:hAnsi="黑体" w:eastAsia="黑体"/>
                <w:sz w:val="24"/>
                <w:szCs w:val="24"/>
              </w:rPr>
            </w:pPr>
            <w:r>
              <w:rPr>
                <w:rFonts w:hint="eastAsia" w:ascii="黑体" w:hAnsi="黑体" w:eastAsia="黑体"/>
                <w:sz w:val="24"/>
                <w:szCs w:val="24"/>
              </w:rPr>
              <w:t>序号</w:t>
            </w:r>
          </w:p>
        </w:tc>
        <w:tc>
          <w:tcPr>
            <w:tcW w:w="1559" w:type="dxa"/>
            <w:vAlign w:val="center"/>
          </w:tcPr>
          <w:p>
            <w:pPr>
              <w:jc w:val="center"/>
              <w:rPr>
                <w:rFonts w:ascii="黑体" w:hAnsi="黑体" w:eastAsia="黑体"/>
                <w:sz w:val="24"/>
                <w:szCs w:val="24"/>
              </w:rPr>
            </w:pPr>
            <w:r>
              <w:rPr>
                <w:rFonts w:hint="eastAsia" w:ascii="黑体" w:hAnsi="黑体" w:eastAsia="黑体"/>
                <w:sz w:val="24"/>
                <w:szCs w:val="24"/>
              </w:rPr>
              <w:t>项目编号</w:t>
            </w:r>
          </w:p>
        </w:tc>
        <w:tc>
          <w:tcPr>
            <w:tcW w:w="2977" w:type="dxa"/>
            <w:vAlign w:val="center"/>
          </w:tcPr>
          <w:p>
            <w:pPr>
              <w:jc w:val="center"/>
              <w:rPr>
                <w:rFonts w:ascii="黑体" w:hAnsi="黑体" w:eastAsia="黑体"/>
                <w:sz w:val="24"/>
                <w:szCs w:val="24"/>
              </w:rPr>
            </w:pPr>
            <w:r>
              <w:rPr>
                <w:rFonts w:hint="eastAsia" w:ascii="黑体" w:hAnsi="黑体" w:eastAsia="黑体"/>
                <w:sz w:val="24"/>
                <w:szCs w:val="24"/>
              </w:rPr>
              <w:t>项目名称</w:t>
            </w:r>
          </w:p>
        </w:tc>
        <w:tc>
          <w:tcPr>
            <w:tcW w:w="1464" w:type="dxa"/>
            <w:vAlign w:val="center"/>
          </w:tcPr>
          <w:p>
            <w:pPr>
              <w:jc w:val="center"/>
              <w:rPr>
                <w:rFonts w:ascii="黑体" w:hAnsi="黑体" w:eastAsia="黑体"/>
                <w:sz w:val="24"/>
                <w:szCs w:val="24"/>
              </w:rPr>
            </w:pPr>
            <w:r>
              <w:rPr>
                <w:rFonts w:hint="eastAsia" w:ascii="黑体" w:hAnsi="黑体" w:eastAsia="黑体"/>
                <w:sz w:val="24"/>
                <w:szCs w:val="24"/>
              </w:rPr>
              <w:t>项目承担人</w:t>
            </w:r>
          </w:p>
        </w:tc>
        <w:tc>
          <w:tcPr>
            <w:tcW w:w="1705" w:type="dxa"/>
            <w:vAlign w:val="center"/>
          </w:tcPr>
          <w:p>
            <w:pPr>
              <w:jc w:val="center"/>
              <w:rPr>
                <w:rFonts w:ascii="黑体" w:hAnsi="黑体" w:eastAsia="黑体"/>
                <w:sz w:val="24"/>
                <w:szCs w:val="24"/>
              </w:rPr>
            </w:pPr>
            <w:r>
              <w:rPr>
                <w:rFonts w:hint="eastAsia" w:ascii="黑体" w:hAnsi="黑体" w:eastAsia="黑体"/>
                <w:sz w:val="24"/>
                <w:szCs w:val="24"/>
              </w:rPr>
              <w:t>备注</w:t>
            </w:r>
          </w:p>
          <w:p>
            <w:pPr>
              <w:jc w:val="center"/>
              <w:rPr>
                <w:rFonts w:ascii="黑体" w:hAnsi="黑体" w:eastAsia="黑体"/>
                <w:sz w:val="24"/>
                <w:szCs w:val="24"/>
              </w:rPr>
            </w:pPr>
            <w:r>
              <w:rPr>
                <w:rFonts w:hint="eastAsia" w:ascii="黑体" w:hAnsi="黑体" w:eastAsia="黑体"/>
                <w:sz w:val="24"/>
                <w:szCs w:val="24"/>
              </w:rPr>
              <w:t>(结题或延期)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p>
        </w:tc>
        <w:tc>
          <w:tcPr>
            <w:tcW w:w="2977" w:type="dxa"/>
            <w:vAlign w:val="center"/>
          </w:tcPr>
          <w:p>
            <w:pPr>
              <w:jc w:val="center"/>
              <w:rPr>
                <w:rFonts w:ascii="宋体" w:hAnsi="宋体"/>
                <w:sz w:val="24"/>
                <w:szCs w:val="24"/>
              </w:rPr>
            </w:pPr>
          </w:p>
        </w:tc>
        <w:tc>
          <w:tcPr>
            <w:tcW w:w="1464" w:type="dxa"/>
            <w:vAlign w:val="center"/>
          </w:tcPr>
          <w:p>
            <w:pPr>
              <w:jc w:val="center"/>
              <w:rPr>
                <w:rFonts w:ascii="宋体" w:hAnsi="宋体"/>
                <w:sz w:val="24"/>
                <w:szCs w:val="24"/>
              </w:rPr>
            </w:pPr>
          </w:p>
        </w:tc>
        <w:tc>
          <w:tcPr>
            <w:tcW w:w="170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p>
        </w:tc>
        <w:tc>
          <w:tcPr>
            <w:tcW w:w="2977" w:type="dxa"/>
            <w:vAlign w:val="center"/>
          </w:tcPr>
          <w:p>
            <w:pPr>
              <w:jc w:val="center"/>
              <w:rPr>
                <w:rFonts w:ascii="宋体" w:hAnsi="宋体"/>
                <w:sz w:val="24"/>
                <w:szCs w:val="24"/>
              </w:rPr>
            </w:pPr>
          </w:p>
        </w:tc>
        <w:tc>
          <w:tcPr>
            <w:tcW w:w="1464" w:type="dxa"/>
            <w:vAlign w:val="center"/>
          </w:tcPr>
          <w:p>
            <w:pPr>
              <w:jc w:val="center"/>
              <w:rPr>
                <w:rFonts w:ascii="宋体" w:hAnsi="宋体"/>
                <w:sz w:val="24"/>
                <w:szCs w:val="24"/>
              </w:rPr>
            </w:pPr>
          </w:p>
        </w:tc>
        <w:tc>
          <w:tcPr>
            <w:tcW w:w="170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p>
        </w:tc>
        <w:tc>
          <w:tcPr>
            <w:tcW w:w="2977" w:type="dxa"/>
            <w:vAlign w:val="center"/>
          </w:tcPr>
          <w:p>
            <w:pPr>
              <w:jc w:val="center"/>
              <w:rPr>
                <w:rFonts w:ascii="宋体" w:hAnsi="宋体"/>
                <w:sz w:val="24"/>
                <w:szCs w:val="24"/>
              </w:rPr>
            </w:pPr>
          </w:p>
        </w:tc>
        <w:tc>
          <w:tcPr>
            <w:tcW w:w="1464" w:type="dxa"/>
            <w:vAlign w:val="center"/>
          </w:tcPr>
          <w:p>
            <w:pPr>
              <w:jc w:val="center"/>
              <w:rPr>
                <w:rFonts w:ascii="宋体" w:hAnsi="宋体"/>
                <w:sz w:val="24"/>
                <w:szCs w:val="24"/>
              </w:rPr>
            </w:pPr>
          </w:p>
        </w:tc>
        <w:tc>
          <w:tcPr>
            <w:tcW w:w="170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p>
        </w:tc>
        <w:tc>
          <w:tcPr>
            <w:tcW w:w="2977" w:type="dxa"/>
            <w:vAlign w:val="center"/>
          </w:tcPr>
          <w:p>
            <w:pPr>
              <w:jc w:val="center"/>
              <w:rPr>
                <w:rFonts w:ascii="宋体" w:hAnsi="宋体"/>
                <w:sz w:val="24"/>
                <w:szCs w:val="24"/>
              </w:rPr>
            </w:pPr>
          </w:p>
        </w:tc>
        <w:tc>
          <w:tcPr>
            <w:tcW w:w="1464" w:type="dxa"/>
            <w:vAlign w:val="center"/>
          </w:tcPr>
          <w:p>
            <w:pPr>
              <w:jc w:val="center"/>
              <w:rPr>
                <w:rFonts w:ascii="宋体" w:hAnsi="宋体"/>
                <w:sz w:val="24"/>
                <w:szCs w:val="24"/>
              </w:rPr>
            </w:pPr>
          </w:p>
        </w:tc>
        <w:tc>
          <w:tcPr>
            <w:tcW w:w="170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p>
        </w:tc>
        <w:tc>
          <w:tcPr>
            <w:tcW w:w="2977" w:type="dxa"/>
            <w:vAlign w:val="center"/>
          </w:tcPr>
          <w:p>
            <w:pPr>
              <w:jc w:val="center"/>
              <w:rPr>
                <w:rFonts w:ascii="宋体" w:hAnsi="宋体"/>
                <w:sz w:val="24"/>
                <w:szCs w:val="24"/>
              </w:rPr>
            </w:pPr>
          </w:p>
        </w:tc>
        <w:tc>
          <w:tcPr>
            <w:tcW w:w="1464" w:type="dxa"/>
            <w:vAlign w:val="center"/>
          </w:tcPr>
          <w:p>
            <w:pPr>
              <w:jc w:val="center"/>
              <w:rPr>
                <w:rFonts w:ascii="宋体" w:hAnsi="宋体"/>
                <w:sz w:val="24"/>
                <w:szCs w:val="24"/>
              </w:rPr>
            </w:pPr>
          </w:p>
        </w:tc>
        <w:tc>
          <w:tcPr>
            <w:tcW w:w="170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p>
        </w:tc>
        <w:tc>
          <w:tcPr>
            <w:tcW w:w="2977" w:type="dxa"/>
            <w:vAlign w:val="center"/>
          </w:tcPr>
          <w:p>
            <w:pPr>
              <w:jc w:val="center"/>
              <w:rPr>
                <w:rFonts w:ascii="宋体" w:hAnsi="宋体"/>
                <w:sz w:val="24"/>
                <w:szCs w:val="24"/>
              </w:rPr>
            </w:pPr>
          </w:p>
        </w:tc>
        <w:tc>
          <w:tcPr>
            <w:tcW w:w="1464" w:type="dxa"/>
            <w:vAlign w:val="center"/>
          </w:tcPr>
          <w:p>
            <w:pPr>
              <w:jc w:val="center"/>
              <w:rPr>
                <w:rFonts w:ascii="宋体" w:hAnsi="宋体"/>
                <w:sz w:val="24"/>
                <w:szCs w:val="24"/>
              </w:rPr>
            </w:pPr>
          </w:p>
        </w:tc>
        <w:tc>
          <w:tcPr>
            <w:tcW w:w="1705"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7" w:type="dxa"/>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p>
        </w:tc>
        <w:tc>
          <w:tcPr>
            <w:tcW w:w="2977" w:type="dxa"/>
            <w:vAlign w:val="center"/>
          </w:tcPr>
          <w:p>
            <w:pPr>
              <w:jc w:val="center"/>
              <w:rPr>
                <w:rFonts w:ascii="宋体" w:hAnsi="宋体"/>
                <w:sz w:val="24"/>
                <w:szCs w:val="24"/>
              </w:rPr>
            </w:pPr>
          </w:p>
        </w:tc>
        <w:tc>
          <w:tcPr>
            <w:tcW w:w="1464" w:type="dxa"/>
            <w:vAlign w:val="center"/>
          </w:tcPr>
          <w:p>
            <w:pPr>
              <w:jc w:val="center"/>
              <w:rPr>
                <w:rFonts w:ascii="宋体" w:hAnsi="宋体"/>
                <w:sz w:val="24"/>
                <w:szCs w:val="24"/>
              </w:rPr>
            </w:pPr>
          </w:p>
        </w:tc>
        <w:tc>
          <w:tcPr>
            <w:tcW w:w="1705" w:type="dxa"/>
            <w:vAlign w:val="center"/>
          </w:tcPr>
          <w:p>
            <w:pPr>
              <w:jc w:val="center"/>
              <w:rPr>
                <w:rFonts w:ascii="宋体" w:hAnsi="宋体"/>
                <w:sz w:val="24"/>
                <w:szCs w:val="24"/>
              </w:rPr>
            </w:pPr>
          </w:p>
        </w:tc>
      </w:tr>
    </w:tbl>
    <w:p>
      <w:pPr>
        <w:rPr>
          <w:rFonts w:ascii="楷体" w:hAnsi="楷体" w:eastAsia="楷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C26DD"/>
    <w:rsid w:val="000C2865"/>
    <w:rsid w:val="00154638"/>
    <w:rsid w:val="00171862"/>
    <w:rsid w:val="0022096F"/>
    <w:rsid w:val="002734E3"/>
    <w:rsid w:val="002A083E"/>
    <w:rsid w:val="002E626C"/>
    <w:rsid w:val="00316D51"/>
    <w:rsid w:val="00332113"/>
    <w:rsid w:val="00447A90"/>
    <w:rsid w:val="00496636"/>
    <w:rsid w:val="00734948"/>
    <w:rsid w:val="008130AC"/>
    <w:rsid w:val="0088187D"/>
    <w:rsid w:val="00906E28"/>
    <w:rsid w:val="0094602B"/>
    <w:rsid w:val="0098065C"/>
    <w:rsid w:val="00996BD9"/>
    <w:rsid w:val="009F65E0"/>
    <w:rsid w:val="00A82219"/>
    <w:rsid w:val="00A85131"/>
    <w:rsid w:val="00A975DC"/>
    <w:rsid w:val="00B62551"/>
    <w:rsid w:val="00C25787"/>
    <w:rsid w:val="00CC26DD"/>
    <w:rsid w:val="00CF2CBE"/>
    <w:rsid w:val="00CF6999"/>
    <w:rsid w:val="00D27400"/>
    <w:rsid w:val="00D50984"/>
    <w:rsid w:val="00D54C90"/>
    <w:rsid w:val="00D860CA"/>
    <w:rsid w:val="00DB5217"/>
    <w:rsid w:val="00DF787E"/>
    <w:rsid w:val="00E500C3"/>
    <w:rsid w:val="00E5181F"/>
    <w:rsid w:val="00E5716A"/>
    <w:rsid w:val="016E2B68"/>
    <w:rsid w:val="03362153"/>
    <w:rsid w:val="04E8539D"/>
    <w:rsid w:val="131C7166"/>
    <w:rsid w:val="18947263"/>
    <w:rsid w:val="23660453"/>
    <w:rsid w:val="276B793B"/>
    <w:rsid w:val="2F4E2FA9"/>
    <w:rsid w:val="2FBB395D"/>
    <w:rsid w:val="3F6A6298"/>
    <w:rsid w:val="3FED2FEE"/>
    <w:rsid w:val="4B4A0E91"/>
    <w:rsid w:val="4FBD38DE"/>
    <w:rsid w:val="653B6D24"/>
    <w:rsid w:val="676550B0"/>
    <w:rsid w:val="6CB25261"/>
    <w:rsid w:val="74335733"/>
    <w:rsid w:val="756E1C38"/>
    <w:rsid w:val="765C3ABF"/>
    <w:rsid w:val="7B6C30C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Date"/>
    <w:basedOn w:val="1"/>
    <w:next w:val="1"/>
    <w:link w:val="12"/>
    <w:unhideWhenUsed/>
    <w:uiPriority w:val="99"/>
    <w:pPr>
      <w:ind w:left="100" w:leftChars="2500"/>
    </w:pPr>
  </w:style>
  <w:style w:type="paragraph" w:styleId="3">
    <w:name w:val="Balloon Text"/>
    <w:basedOn w:val="1"/>
    <w:link w:val="13"/>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9">
    <w:name w:val="p0"/>
    <w:basedOn w:val="1"/>
    <w:uiPriority w:val="0"/>
    <w:pPr>
      <w:widowControl/>
    </w:pPr>
    <w:rPr>
      <w:rFonts w:ascii="Calibri" w:hAnsi="Calibri" w:cs="宋体"/>
      <w:kern w:val="0"/>
      <w:szCs w:val="21"/>
    </w:rPr>
  </w:style>
  <w:style w:type="character" w:customStyle="1" w:styleId="10">
    <w:name w:val="页眉 Char"/>
    <w:basedOn w:val="6"/>
    <w:link w:val="5"/>
    <w:uiPriority w:val="99"/>
    <w:rPr>
      <w:sz w:val="18"/>
      <w:szCs w:val="18"/>
    </w:rPr>
  </w:style>
  <w:style w:type="character" w:customStyle="1" w:styleId="11">
    <w:name w:val="页脚 Char"/>
    <w:basedOn w:val="6"/>
    <w:link w:val="4"/>
    <w:uiPriority w:val="99"/>
    <w:rPr>
      <w:sz w:val="18"/>
      <w:szCs w:val="18"/>
    </w:rPr>
  </w:style>
  <w:style w:type="character" w:customStyle="1" w:styleId="12">
    <w:name w:val="日期 Char"/>
    <w:basedOn w:val="6"/>
    <w:link w:val="2"/>
    <w:semiHidden/>
    <w:uiPriority w:val="99"/>
    <w:rPr/>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Words>
  <Characters>907</Characters>
  <Lines>7</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2015-10-12T00:48:00Z</dcterms:created>
  <dc:creator>grate</dc:creator>
  <cp:lastModifiedBy>Administrator</cp:lastModifiedBy>
  <cp:lastPrinted>2014-10-29T08:13:00Z</cp:lastPrinted>
  <dcterms:modified xsi:type="dcterms:W3CDTF">2015-10-16T02:17:02Z</dcterms:modified>
  <dc:title>关于组织开展2015年度辽宁省博士科研启动基金项目结题验收工作的通知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