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附件7</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color w:val="auto"/>
          <w:kern w:val="0"/>
          <w:sz w:val="44"/>
          <w:szCs w:val="44"/>
          <w:lang w:val="en-US" w:eastAsia="zh-CN"/>
        </w:rPr>
      </w:pPr>
    </w:p>
    <w:p>
      <w:pPr>
        <w:keepNext w:val="0"/>
        <w:keepLines w:val="0"/>
        <w:pageBreakBefore w:val="0"/>
        <w:widowControl w:val="0"/>
        <w:kinsoku/>
        <w:wordWrap/>
        <w:overflowPunct/>
        <w:topLinePunct w:val="0"/>
        <w:autoSpaceDE/>
        <w:autoSpaceDN/>
        <w:bidi w:val="0"/>
        <w:snapToGrid/>
        <w:spacing w:line="56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沈阳市种业创新</w:t>
      </w:r>
      <w:r>
        <w:rPr>
          <w:rFonts w:hint="eastAsia" w:ascii="方正小标宋_GBK" w:hAnsi="方正小标宋_GBK" w:eastAsia="方正小标宋_GBK" w:cs="方正小标宋_GBK"/>
          <w:color w:val="auto"/>
          <w:sz w:val="44"/>
          <w:szCs w:val="44"/>
          <w:lang w:eastAsia="zh-CN"/>
        </w:rPr>
        <w:t>科技</w:t>
      </w:r>
      <w:r>
        <w:rPr>
          <w:rFonts w:hint="eastAsia" w:ascii="方正小标宋_GBK" w:hAnsi="方正小标宋_GBK" w:eastAsia="方正小标宋_GBK" w:cs="方正小标宋_GBK"/>
          <w:color w:val="auto"/>
          <w:sz w:val="44"/>
          <w:szCs w:val="44"/>
          <w:lang w:val="en-US" w:eastAsia="zh-CN"/>
        </w:rPr>
        <w:t>专项</w:t>
      </w:r>
      <w:r>
        <w:rPr>
          <w:rFonts w:hint="eastAsia" w:ascii="方正小标宋_GBK" w:hAnsi="方正小标宋_GBK" w:eastAsia="方正小标宋_GBK" w:cs="方正小标宋_GBK"/>
          <w:color w:val="auto"/>
          <w:sz w:val="44"/>
          <w:szCs w:val="44"/>
        </w:rPr>
        <w:t>申报指南</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ascii="黑体" w:hAnsi="黑体" w:eastAsia="黑体" w:cs="仿宋"/>
          <w:color w:val="auto"/>
          <w:kern w:val="0"/>
          <w:sz w:val="32"/>
          <w:szCs w:val="32"/>
        </w:rPr>
      </w:pPr>
    </w:p>
    <w:p>
      <w:pPr>
        <w:keepNext w:val="0"/>
        <w:keepLines w:val="0"/>
        <w:pageBreakBefore w:val="0"/>
        <w:widowControl w:val="0"/>
        <w:kinsoku/>
        <w:wordWrap/>
        <w:overflowPunct/>
        <w:topLinePunct w:val="0"/>
        <w:autoSpaceDE/>
        <w:autoSpaceDN/>
        <w:bidi w:val="0"/>
        <w:snapToGrid/>
        <w:spacing w:line="560" w:lineRule="exact"/>
        <w:ind w:firstLine="640" w:firstLineChars="200"/>
        <w:rPr>
          <w:rFonts w:ascii="黑体" w:hAnsi="黑体" w:eastAsia="黑体" w:cs="仿宋"/>
          <w:color w:val="auto"/>
          <w:kern w:val="0"/>
          <w:sz w:val="32"/>
          <w:szCs w:val="32"/>
        </w:rPr>
      </w:pPr>
      <w:r>
        <w:rPr>
          <w:rFonts w:hint="eastAsia" w:ascii="黑体" w:hAnsi="黑体" w:eastAsia="黑体" w:cs="仿宋"/>
          <w:color w:val="auto"/>
          <w:kern w:val="0"/>
          <w:sz w:val="32"/>
          <w:szCs w:val="32"/>
        </w:rPr>
        <w:t>一、支持方向</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以突出我市优势、特色和产业急需为目标，以玉米、水稻、大豆、向日葵、花生、</w:t>
      </w:r>
      <w:r>
        <w:rPr>
          <w:rFonts w:hint="eastAsia" w:ascii="仿宋_GB2312" w:hAnsi="仿宋_GB2312" w:eastAsia="仿宋_GB2312" w:cs="仿宋_GB2312"/>
          <w:b w:val="0"/>
          <w:bCs w:val="0"/>
          <w:color w:val="auto"/>
          <w:sz w:val="32"/>
          <w:szCs w:val="32"/>
        </w:rPr>
        <w:t>薯</w:t>
      </w:r>
      <w:r>
        <w:rPr>
          <w:rFonts w:hint="eastAsia" w:ascii="仿宋_GB2312" w:hAnsi="仿宋_GB2312" w:eastAsia="仿宋_GB2312" w:cs="仿宋_GB2312"/>
          <w:b w:val="0"/>
          <w:bCs w:val="0"/>
          <w:color w:val="auto"/>
          <w:sz w:val="32"/>
          <w:szCs w:val="32"/>
          <w:lang w:eastAsia="zh-CN"/>
        </w:rPr>
        <w:t>类</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rPr>
        <w:t>蔬菜、果树、</w:t>
      </w:r>
      <w:r>
        <w:rPr>
          <w:rFonts w:hint="eastAsia" w:ascii="仿宋_GB2312" w:hAnsi="仿宋_GB2312" w:eastAsia="仿宋_GB2312" w:cs="仿宋_GB2312"/>
          <w:color w:val="auto"/>
          <w:sz w:val="32"/>
          <w:szCs w:val="32"/>
          <w:lang w:val="en-US" w:eastAsia="zh-CN"/>
        </w:rPr>
        <w:t>小浆果、林木、</w:t>
      </w:r>
      <w:r>
        <w:rPr>
          <w:rFonts w:hint="eastAsia" w:ascii="仿宋_GB2312" w:hAnsi="仿宋_GB2312" w:eastAsia="仿宋_GB2312" w:cs="仿宋_GB2312"/>
          <w:color w:val="auto"/>
          <w:sz w:val="32"/>
          <w:szCs w:val="32"/>
        </w:rPr>
        <w:t>花卉、食用菌、</w:t>
      </w:r>
      <w:r>
        <w:rPr>
          <w:rFonts w:hint="eastAsia" w:ascii="仿宋_GB2312" w:hAnsi="仿宋_GB2312" w:eastAsia="仿宋_GB2312" w:cs="仿宋_GB2312"/>
          <w:color w:val="auto"/>
          <w:sz w:val="32"/>
          <w:szCs w:val="32"/>
          <w:lang w:val="en-US" w:eastAsia="zh-CN"/>
        </w:rPr>
        <w:t>山野菜、</w:t>
      </w:r>
      <w:r>
        <w:rPr>
          <w:rFonts w:hint="eastAsia" w:ascii="仿宋_GB2312" w:hAnsi="仿宋_GB2312" w:eastAsia="仿宋_GB2312" w:cs="仿宋_GB2312"/>
          <w:color w:val="auto"/>
          <w:sz w:val="32"/>
          <w:szCs w:val="32"/>
        </w:rPr>
        <w:t>肉牛、生猪、</w:t>
      </w:r>
      <w:r>
        <w:rPr>
          <w:rFonts w:hint="eastAsia" w:ascii="仿宋_GB2312" w:hAnsi="仿宋_GB2312" w:eastAsia="仿宋_GB2312" w:cs="仿宋_GB2312"/>
          <w:color w:val="auto"/>
          <w:sz w:val="32"/>
          <w:szCs w:val="32"/>
          <w:lang w:val="en-US" w:eastAsia="zh-CN"/>
        </w:rPr>
        <w:t>绒山羊、</w:t>
      </w:r>
      <w:r>
        <w:rPr>
          <w:rFonts w:hint="eastAsia" w:ascii="仿宋_GB2312" w:hAnsi="仿宋_GB2312" w:eastAsia="仿宋_GB2312" w:cs="仿宋_GB2312"/>
          <w:color w:val="auto"/>
          <w:sz w:val="32"/>
          <w:szCs w:val="32"/>
        </w:rPr>
        <w:t>禽类、水产等为重点，围绕优异种质资源鉴定与创制、育种技术创新、优良新品种培育等重点关键环节及优良种苗（畜）扩繁等相关配套技术，开展联合攻关。</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二、支持对象</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ascii="仿宋_GB2312" w:hAnsi="仿宋" w:eastAsia="仿宋_GB2312" w:cs="仿宋"/>
          <w:color w:val="auto"/>
          <w:kern w:val="0"/>
          <w:sz w:val="32"/>
          <w:szCs w:val="32"/>
        </w:rPr>
      </w:pPr>
      <w:r>
        <w:rPr>
          <w:rFonts w:hint="eastAsia" w:ascii="仿宋_GB2312" w:hAnsi="仿宋" w:eastAsia="仿宋_GB2312" w:cs="仿宋"/>
          <w:color w:val="auto"/>
          <w:kern w:val="0"/>
          <w:sz w:val="32"/>
          <w:szCs w:val="32"/>
        </w:rPr>
        <w:t>沈阳域内注册，入选沈阳市种业创新团队（创新联合体）的牵头单位或成员单位。</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ascii="仿宋_GB2312" w:hAnsi="仿宋" w:eastAsia="仿宋_GB2312" w:cs="仿宋"/>
          <w:color w:val="auto"/>
          <w:sz w:val="32"/>
          <w:szCs w:val="32"/>
        </w:rPr>
      </w:pPr>
      <w:r>
        <w:rPr>
          <w:rFonts w:hint="eastAsia" w:ascii="楷体_GB2312" w:hAnsi="楷体_GB2312" w:eastAsia="楷体_GB2312" w:cs="楷体_GB2312"/>
          <w:color w:val="auto"/>
          <w:kern w:val="0"/>
          <w:sz w:val="32"/>
          <w:szCs w:val="32"/>
        </w:rPr>
        <w:t>（一）基本条件</w:t>
      </w:r>
      <w:r>
        <w:rPr>
          <w:rFonts w:hint="eastAsia" w:ascii="楷体_GB2312" w:hAnsi="楷体_GB2312" w:eastAsia="楷体_GB2312" w:cs="楷体_GB2312"/>
          <w:color w:val="auto"/>
          <w:kern w:val="0"/>
          <w:sz w:val="32"/>
          <w:szCs w:val="32"/>
        </w:rPr>
        <w:br w:type="textWrapping"/>
      </w:r>
      <w:r>
        <w:rPr>
          <w:rFonts w:hint="eastAsia" w:ascii="仿宋_GB2312" w:hAnsi="仿宋" w:eastAsia="仿宋_GB2312" w:cs="仿宋"/>
          <w:color w:val="auto"/>
          <w:kern w:val="0"/>
          <w:sz w:val="32"/>
          <w:szCs w:val="32"/>
        </w:rPr>
        <w:t>　　</w:t>
      </w:r>
      <w:r>
        <w:rPr>
          <w:rFonts w:hint="eastAsia" w:ascii="仿宋_GB2312" w:hAnsi="仿宋" w:eastAsia="仿宋_GB2312" w:cs="仿宋"/>
          <w:color w:val="auto"/>
          <w:sz w:val="32"/>
          <w:szCs w:val="32"/>
        </w:rPr>
        <w:t>1.申报单位应为沈阳市所属的或者在沈阳市行政区域内登记、注册、具有独立法人资格的企事业单位或其他机构，注册时间为</w:t>
      </w:r>
      <w:r>
        <w:rPr>
          <w:rFonts w:ascii="仿宋_GB2312" w:hAnsi="仿宋" w:eastAsia="仿宋_GB2312" w:cs="仿宋"/>
          <w:color w:val="auto"/>
          <w:sz w:val="32"/>
          <w:szCs w:val="32"/>
        </w:rPr>
        <w:t>1</w:t>
      </w:r>
      <w:r>
        <w:rPr>
          <w:rFonts w:hint="eastAsia" w:ascii="仿宋_GB2312" w:hAnsi="仿宋" w:eastAsia="仿宋_GB2312" w:cs="仿宋"/>
          <w:color w:val="auto"/>
          <w:sz w:val="32"/>
          <w:szCs w:val="32"/>
        </w:rPr>
        <w:t>年以上，具有与项目实施相匹配的基础条件，有研发经费投入，具有完成项目所必备的人才条件和技术装备，有健全的科研管理制度、财务管理制度，在育种理论基础、种质资源、先进育种技术、研发水平等方面具有领先优势。</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ascii="仿宋_GB2312" w:hAnsi="仿宋" w:eastAsia="仿宋_GB2312" w:cs="仿宋"/>
          <w:color w:val="auto"/>
          <w:kern w:val="0"/>
          <w:sz w:val="32"/>
          <w:szCs w:val="32"/>
        </w:rPr>
      </w:pPr>
      <w:r>
        <w:rPr>
          <w:rFonts w:hint="eastAsia" w:ascii="仿宋_GB2312" w:hAnsi="仿宋" w:eastAsia="仿宋_GB2312" w:cs="仿宋"/>
          <w:color w:val="auto"/>
          <w:kern w:val="0"/>
          <w:sz w:val="32"/>
          <w:szCs w:val="32"/>
        </w:rPr>
        <w:t>2.项目负责人须为申报单位在职人员，不超过</w:t>
      </w:r>
      <w:r>
        <w:rPr>
          <w:rFonts w:ascii="仿宋_GB2312" w:hAnsi="仿宋" w:eastAsia="仿宋_GB2312" w:cs="仿宋"/>
          <w:color w:val="auto"/>
          <w:kern w:val="0"/>
          <w:sz w:val="32"/>
          <w:szCs w:val="32"/>
        </w:rPr>
        <w:t>57</w:t>
      </w:r>
      <w:r>
        <w:rPr>
          <w:rFonts w:hint="eastAsia" w:ascii="仿宋_GB2312" w:hAnsi="仿宋" w:eastAsia="仿宋_GB2312" w:cs="仿宋"/>
          <w:color w:val="auto"/>
          <w:kern w:val="0"/>
          <w:sz w:val="32"/>
          <w:szCs w:val="32"/>
        </w:rPr>
        <w:t>周岁，在相关技术领域具有较高的学术水平，富有创新求实和甘于奉献的科学精神，熟悉本领域国内外技术和市场动态及发展趋势，具有完成项目所需的组织管理和协调能力，在全国同学科领域内有较高学术威望和重要影响力。</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ascii="仿宋_GB2312" w:hAnsi="仿宋" w:eastAsia="仿宋_GB2312" w:cs="仿宋"/>
          <w:color w:val="auto"/>
          <w:kern w:val="0"/>
          <w:sz w:val="32"/>
          <w:szCs w:val="32"/>
        </w:rPr>
      </w:pPr>
      <w:r>
        <w:rPr>
          <w:rFonts w:hint="eastAsia" w:ascii="仿宋_GB2312" w:hAnsi="仿宋" w:eastAsia="仿宋_GB2312" w:cs="仿宋"/>
          <w:color w:val="auto"/>
          <w:kern w:val="0"/>
          <w:sz w:val="32"/>
          <w:szCs w:val="32"/>
        </w:rPr>
        <w:t>3.研究项目设置科学合理，研究思路清晰、方向和内容互补，具有现实性、迭代性和前瞻性，符合我市种业发展需求，能够在优异种质资源创制、前沿育种技术和标志性新品种培育等方面实现突破，可获得新品种、新种质、发明专利、育种技术软件著作等标志性成果，具有较好的产业化发展潜力和市场前景，预期社会经济效益显著。</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ascii="仿宋_GB2312" w:hAnsi="仿宋" w:eastAsia="仿宋_GB2312" w:cs="仿宋"/>
          <w:color w:val="auto"/>
          <w:kern w:val="0"/>
          <w:sz w:val="32"/>
          <w:szCs w:val="32"/>
        </w:rPr>
      </w:pPr>
      <w:r>
        <w:rPr>
          <w:rFonts w:hint="eastAsia" w:ascii="仿宋_GB2312" w:hAnsi="仿宋" w:eastAsia="仿宋_GB2312" w:cs="仿宋"/>
          <w:color w:val="auto"/>
          <w:kern w:val="0"/>
          <w:sz w:val="32"/>
          <w:szCs w:val="32"/>
        </w:rPr>
        <w:t>4.团队成员具有一定从事相关领域研发工作经历和长期合作基础，具备重大技术研发和成果转化能力，具有合理的专业结构和年龄结构。</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ascii="仿宋_GB2312" w:hAnsi="仿宋" w:eastAsia="仿宋_GB2312" w:cs="仿宋"/>
          <w:color w:val="auto"/>
          <w:kern w:val="0"/>
          <w:sz w:val="32"/>
          <w:szCs w:val="32"/>
        </w:rPr>
      </w:pPr>
      <w:r>
        <w:rPr>
          <w:rFonts w:hint="eastAsia" w:ascii="仿宋_GB2312" w:hAnsi="仿宋" w:eastAsia="仿宋_GB2312" w:cs="仿宋"/>
          <w:color w:val="auto"/>
          <w:kern w:val="0"/>
          <w:sz w:val="32"/>
          <w:szCs w:val="32"/>
        </w:rPr>
        <w:t>5.非企业单位须吸纳具有一定规模的科技型种业企业或专业合作社作为合作单位。</w:t>
      </w:r>
    </w:p>
    <w:p>
      <w:pPr>
        <w:keepNext w:val="0"/>
        <w:keepLines w:val="0"/>
        <w:pageBreakBefore w:val="0"/>
        <w:widowControl w:val="0"/>
        <w:kinsoku/>
        <w:wordWrap/>
        <w:overflowPunct/>
        <w:topLinePunct w:val="0"/>
        <w:autoSpaceDE/>
        <w:autoSpaceDN/>
        <w:bidi w:val="0"/>
        <w:snapToGrid/>
        <w:spacing w:line="560" w:lineRule="exact"/>
        <w:ind w:firstLine="480" w:firstLineChars="150"/>
        <w:rPr>
          <w:rFonts w:hint="eastAsia" w:ascii="仿宋_GB2312" w:hAnsi="仿宋" w:eastAsia="仿宋_GB2312" w:cs="仿宋"/>
          <w:color w:val="auto"/>
          <w:kern w:val="0"/>
          <w:sz w:val="32"/>
          <w:szCs w:val="32"/>
        </w:rPr>
      </w:pPr>
      <w:r>
        <w:rPr>
          <w:rFonts w:ascii="仿宋_GB2312" w:hAnsi="仿宋" w:eastAsia="仿宋_GB2312" w:cs="仿宋"/>
          <w:color w:val="auto"/>
          <w:kern w:val="0"/>
          <w:sz w:val="32"/>
          <w:szCs w:val="32"/>
        </w:rPr>
        <w:t xml:space="preserve"> 6.</w:t>
      </w:r>
      <w:r>
        <w:rPr>
          <w:rFonts w:hint="eastAsia" w:ascii="仿宋_GB2312" w:hAnsi="仿宋" w:eastAsia="仿宋_GB2312" w:cs="仿宋"/>
          <w:color w:val="auto"/>
          <w:kern w:val="0"/>
          <w:sz w:val="32"/>
          <w:szCs w:val="32"/>
        </w:rPr>
        <w:t>所申报项目应至少有1-2家所在团队其他单位成员参与并承担具体任务，项目经费由项目负责人按申请总经费的30%给予支持。申报单位为企业的，自筹资金占项目资金预算比例不应低于50％。</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ascii="仿宋_GB2312" w:hAnsi="仿宋" w:eastAsia="仿宋_GB2312" w:cs="仿宋"/>
          <w:color w:val="auto"/>
          <w:kern w:val="0"/>
          <w:sz w:val="32"/>
          <w:szCs w:val="32"/>
        </w:rPr>
      </w:pPr>
      <w:r>
        <w:rPr>
          <w:rFonts w:hint="eastAsia" w:ascii="楷体_GB2312" w:hAnsi="楷体_GB2312" w:eastAsia="楷体_GB2312" w:cs="楷体_GB2312"/>
          <w:color w:val="auto"/>
          <w:kern w:val="0"/>
          <w:sz w:val="32"/>
          <w:szCs w:val="32"/>
        </w:rPr>
        <w:t>（二）相关事项</w:t>
      </w:r>
      <w:r>
        <w:rPr>
          <w:rFonts w:hint="eastAsia" w:ascii="楷体_GB2312" w:hAnsi="楷体_GB2312" w:eastAsia="楷体_GB2312" w:cs="楷体_GB2312"/>
          <w:color w:val="auto"/>
          <w:kern w:val="0"/>
          <w:sz w:val="32"/>
          <w:szCs w:val="32"/>
        </w:rPr>
        <w:br w:type="textWrapping"/>
      </w:r>
      <w:r>
        <w:rPr>
          <w:rFonts w:hint="eastAsia" w:ascii="仿宋_GB2312" w:hAnsi="仿宋" w:eastAsia="仿宋_GB2312" w:cs="仿宋"/>
          <w:color w:val="auto"/>
          <w:kern w:val="0"/>
          <w:sz w:val="32"/>
          <w:szCs w:val="32"/>
        </w:rPr>
        <w:t xml:space="preserve">　 </w:t>
      </w:r>
      <w:r>
        <w:rPr>
          <w:rFonts w:ascii="仿宋_GB2312" w:hAnsi="仿宋" w:eastAsia="仿宋_GB2312" w:cs="仿宋"/>
          <w:color w:val="auto"/>
          <w:kern w:val="0"/>
          <w:sz w:val="32"/>
          <w:szCs w:val="32"/>
        </w:rPr>
        <w:t xml:space="preserve"> </w:t>
      </w:r>
      <w:r>
        <w:rPr>
          <w:rFonts w:hint="eastAsia" w:ascii="仿宋_GB2312" w:hAnsi="仿宋" w:eastAsia="仿宋_GB2312" w:cs="仿宋"/>
          <w:color w:val="auto"/>
          <w:kern w:val="0"/>
          <w:sz w:val="32"/>
          <w:szCs w:val="32"/>
          <w:lang w:val="en-US" w:eastAsia="zh-CN"/>
        </w:rPr>
        <w:t>1</w:t>
      </w:r>
      <w:r>
        <w:rPr>
          <w:rFonts w:hint="eastAsia" w:ascii="仿宋_GB2312" w:hAnsi="仿宋" w:eastAsia="仿宋_GB2312" w:cs="仿宋"/>
          <w:color w:val="auto"/>
          <w:kern w:val="0"/>
          <w:sz w:val="32"/>
          <w:szCs w:val="32"/>
        </w:rPr>
        <w:t>. 项目申报单位、项目参与单位以及项目组成员诚信状况良好，无不良科研失信记录。涉及从事动物等实验研究领域的，无违反科技伦理规范。企业经营管理正常。</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ascii="仿宋_GB2312" w:hAnsi="仿宋" w:eastAsia="仿宋_GB2312" w:cs="仿宋"/>
          <w:color w:val="auto"/>
          <w:kern w:val="0"/>
          <w:sz w:val="32"/>
          <w:szCs w:val="32"/>
        </w:rPr>
      </w:pPr>
      <w:r>
        <w:rPr>
          <w:rFonts w:hint="eastAsia" w:ascii="仿宋_GB2312" w:hAnsi="仿宋" w:eastAsia="仿宋_GB2312" w:cs="仿宋"/>
          <w:color w:val="auto"/>
          <w:kern w:val="0"/>
          <w:sz w:val="32"/>
          <w:szCs w:val="32"/>
          <w:lang w:val="en-US" w:eastAsia="zh-CN"/>
        </w:rPr>
        <w:t>2</w:t>
      </w:r>
      <w:r>
        <w:rPr>
          <w:rFonts w:hint="eastAsia" w:ascii="仿宋_GB2312" w:hAnsi="仿宋" w:eastAsia="仿宋_GB2312" w:cs="仿宋"/>
          <w:color w:val="auto"/>
          <w:kern w:val="0"/>
          <w:sz w:val="32"/>
          <w:szCs w:val="32"/>
        </w:rPr>
        <w:t>.申报单位须对项目申报书各项内容的真实性负责。</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ascii="黑体" w:hAnsi="黑体" w:eastAsia="黑体"/>
          <w:color w:val="auto"/>
          <w:kern w:val="0"/>
          <w:sz w:val="32"/>
          <w:szCs w:val="32"/>
        </w:rPr>
      </w:pPr>
      <w:r>
        <w:rPr>
          <w:rFonts w:hint="eastAsia" w:ascii="黑体" w:hAnsi="黑体" w:eastAsia="黑体" w:cs="黑体"/>
          <w:color w:val="auto"/>
          <w:kern w:val="0"/>
          <w:sz w:val="32"/>
          <w:szCs w:val="32"/>
          <w:lang w:val="en-US" w:eastAsia="zh-CN"/>
        </w:rPr>
        <w:t>三、</w:t>
      </w:r>
      <w:r>
        <w:rPr>
          <w:rFonts w:hint="eastAsia" w:ascii="黑体" w:hAnsi="黑体" w:eastAsia="黑体"/>
          <w:color w:val="auto"/>
          <w:kern w:val="0"/>
          <w:sz w:val="32"/>
          <w:szCs w:val="32"/>
        </w:rPr>
        <w:t>支持方式</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hAnsi="仿宋" w:eastAsia="仿宋_GB2312" w:cs="仿宋"/>
          <w:color w:val="auto"/>
          <w:kern w:val="0"/>
          <w:sz w:val="32"/>
          <w:szCs w:val="32"/>
        </w:rPr>
        <w:t>本计划项目采取前资助方式。每个项目最高不超过30万元</w:t>
      </w:r>
      <w:r>
        <w:rPr>
          <w:rFonts w:hint="eastAsia" w:ascii="仿宋_GB2312" w:hAnsi="仿宋" w:eastAsia="仿宋_GB2312" w:cs="仿宋"/>
          <w:color w:val="auto"/>
          <w:kern w:val="0"/>
          <w:sz w:val="32"/>
          <w:szCs w:val="32"/>
          <w:lang w:eastAsia="zh-CN"/>
        </w:rPr>
        <w:t>。</w:t>
      </w:r>
      <w:r>
        <w:rPr>
          <w:rFonts w:hint="eastAsia" w:ascii="仿宋_GB2312" w:hAnsi="仿宋" w:eastAsia="仿宋_GB2312" w:cs="仿宋"/>
          <w:color w:val="auto"/>
          <w:kern w:val="0"/>
          <w:sz w:val="32"/>
          <w:szCs w:val="32"/>
          <w:highlight w:val="none"/>
          <w:lang w:eastAsia="zh-CN"/>
        </w:rPr>
        <w:t>（</w:t>
      </w:r>
      <w:r>
        <w:rPr>
          <w:rFonts w:hint="eastAsia" w:ascii="仿宋_GB2312" w:hAnsi="仿宋" w:eastAsia="仿宋_GB2312" w:cs="仿宋"/>
          <w:color w:val="auto"/>
          <w:kern w:val="0"/>
          <w:sz w:val="32"/>
          <w:szCs w:val="32"/>
          <w:highlight w:val="none"/>
        </w:rPr>
        <w:t>事关粮食安全等重点领域卡脖子技术可适当放宽支持金额，最高不超过50万元。</w:t>
      </w:r>
      <w:r>
        <w:rPr>
          <w:rFonts w:hint="eastAsia" w:ascii="仿宋_GB2312" w:hAnsi="仿宋" w:eastAsia="仿宋_GB2312" w:cs="仿宋"/>
          <w:color w:val="auto"/>
          <w:kern w:val="0"/>
          <w:sz w:val="32"/>
          <w:szCs w:val="32"/>
          <w:highlight w:val="none"/>
          <w:lang w:eastAsia="zh-CN"/>
        </w:rPr>
        <w:t>）</w:t>
      </w:r>
    </w:p>
    <w:p>
      <w:pPr>
        <w:pStyle w:val="5"/>
        <w:numPr>
          <w:ilvl w:val="0"/>
          <w:numId w:val="0"/>
        </w:numPr>
        <w:tabs>
          <w:tab w:val="left" w:pos="993"/>
        </w:tabs>
        <w:kinsoku/>
        <w:wordWrap/>
        <w:overflowPunct/>
        <w:topLinePunct w:val="0"/>
        <w:bidi w:val="0"/>
        <w:snapToGrid/>
        <w:spacing w:line="560" w:lineRule="exact"/>
        <w:ind w:left="640" w:leftChars="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四、考核重点</w:t>
      </w:r>
    </w:p>
    <w:p>
      <w:pPr>
        <w:keepNext w:val="0"/>
        <w:keepLines w:val="0"/>
        <w:pageBreakBefore w:val="0"/>
        <w:widowControl w:val="0"/>
        <w:kinsoku/>
        <w:wordWrap/>
        <w:overflowPunct/>
        <w:topLinePunct w:val="0"/>
        <w:autoSpaceDE/>
        <w:autoSpaceDN/>
        <w:bidi w:val="0"/>
        <w:snapToGrid/>
        <w:spacing w:line="560" w:lineRule="exact"/>
        <w:ind w:firstLine="480" w:firstLineChars="15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1.技术指标：包括解决的关键技术问题，形成的新技术、新工艺、新产品、新标准等；在育种理论与技术路线上实现新的突破，玉米、水稻等重点农作物育种创新能力达到或接近国际一流水平。</w:t>
      </w:r>
    </w:p>
    <w:p>
      <w:pPr>
        <w:keepNext w:val="0"/>
        <w:keepLines w:val="0"/>
        <w:pageBreakBefore w:val="0"/>
        <w:widowControl w:val="0"/>
        <w:kinsoku/>
        <w:wordWrap/>
        <w:overflowPunct/>
        <w:topLinePunct w:val="0"/>
        <w:autoSpaceDE/>
        <w:autoSpaceDN/>
        <w:bidi w:val="0"/>
        <w:snapToGrid/>
        <w:spacing w:line="560" w:lineRule="exact"/>
        <w:ind w:firstLine="480" w:firstLineChars="15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2.社会效益指标：包括实现的主要经济效益、社会效益等指标，应用示范或未来产业化推广规模等方面的具体指标。</w:t>
      </w:r>
    </w:p>
    <w:p>
      <w:pPr>
        <w:keepNext w:val="0"/>
        <w:keepLines w:val="0"/>
        <w:pageBreakBefore w:val="0"/>
        <w:widowControl w:val="0"/>
        <w:kinsoku/>
        <w:wordWrap/>
        <w:overflowPunct/>
        <w:topLinePunct w:val="0"/>
        <w:autoSpaceDE/>
        <w:autoSpaceDN/>
        <w:bidi w:val="0"/>
        <w:snapToGrid/>
        <w:spacing w:line="560" w:lineRule="exact"/>
        <w:ind w:firstLine="480" w:firstLineChars="15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3.成果指标：包括形成的专利、论文、著作等科技成果，培养的专业技术人才队伍等。</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项目考核指标量化具体、可考核性强。</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lang w:eastAsia="zh-CN"/>
        </w:rPr>
        <w:t>五</w:t>
      </w:r>
      <w:r>
        <w:rPr>
          <w:rFonts w:hint="eastAsia" w:ascii="黑体" w:hAnsi="黑体" w:eastAsia="黑体"/>
          <w:color w:val="auto"/>
          <w:kern w:val="0"/>
          <w:sz w:val="32"/>
          <w:szCs w:val="32"/>
        </w:rPr>
        <w:t>、申报方式</w:t>
      </w:r>
    </w:p>
    <w:p>
      <w:pPr>
        <w:keepNext w:val="0"/>
        <w:keepLines w:val="0"/>
        <w:pageBreakBefore w:val="0"/>
        <w:widowControl w:val="0"/>
        <w:kinsoku/>
        <w:wordWrap/>
        <w:overflowPunct/>
        <w:topLinePunct w:val="0"/>
        <w:autoSpaceDE/>
        <w:autoSpaceDN/>
        <w:bidi w:val="0"/>
        <w:snapToGrid/>
        <w:spacing w:line="560" w:lineRule="exact"/>
        <w:ind w:firstLine="480" w:firstLineChars="15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color w:val="auto"/>
          <w:sz w:val="32"/>
          <w:szCs w:val="32"/>
        </w:rPr>
        <w:t>项目申报单位登录沈阳市科技创新管理平台，</w:t>
      </w:r>
      <w:r>
        <w:rPr>
          <w:rFonts w:hint="eastAsia" w:ascii="仿宋_GB2312" w:hAnsi="仿宋_GB2312" w:eastAsia="仿宋_GB2312" w:cs="仿宋_GB2312"/>
          <w:bCs/>
          <w:color w:val="auto"/>
          <w:sz w:val="32"/>
          <w:szCs w:val="32"/>
        </w:rPr>
        <w:t>进入“科技计划项目—项目申报”模块进行在线填报</w:t>
      </w:r>
      <w:r>
        <w:rPr>
          <w:rFonts w:hint="eastAsia" w:ascii="仿宋_GB2312" w:hAnsi="仿宋_GB2312" w:eastAsia="仿宋_GB2312" w:cs="仿宋_GB2312"/>
          <w:color w:val="auto"/>
          <w:spacing w:val="-2"/>
          <w:sz w:val="32"/>
          <w:szCs w:val="32"/>
        </w:rPr>
        <w:t>，</w:t>
      </w:r>
      <w:r>
        <w:rPr>
          <w:rFonts w:hint="eastAsia" w:ascii="仿宋_GB2312" w:hAnsi="仿宋_GB2312" w:eastAsia="仿宋_GB2312" w:cs="仿宋_GB2312"/>
          <w:color w:val="auto"/>
          <w:sz w:val="32"/>
          <w:szCs w:val="32"/>
        </w:rPr>
        <w:t>计划类别请选择“202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年度沈阳市科学技术计划”，</w:t>
      </w:r>
      <w:r>
        <w:rPr>
          <w:rFonts w:hint="eastAsia" w:ascii="仿宋_GB2312" w:hAnsi="仿宋_GB2312" w:eastAsia="仿宋_GB2312" w:cs="仿宋_GB2312"/>
          <w:color w:val="auto"/>
          <w:sz w:val="32"/>
          <w:szCs w:val="32"/>
          <w:lang w:eastAsia="zh-CN"/>
        </w:rPr>
        <w:t>专项类别</w:t>
      </w:r>
      <w:r>
        <w:rPr>
          <w:rFonts w:hint="eastAsia" w:ascii="仿宋_GB2312" w:hAnsi="仿宋_GB2312" w:eastAsia="仿宋_GB2312" w:cs="仿宋_GB2312"/>
          <w:color w:val="auto"/>
          <w:sz w:val="32"/>
          <w:szCs w:val="32"/>
        </w:rPr>
        <w:t>选择“种业创新专项”，</w:t>
      </w:r>
      <w:r>
        <w:rPr>
          <w:rFonts w:hint="eastAsia" w:ascii="仿宋_GB2312" w:hAnsi="仿宋_GB2312" w:eastAsia="仿宋_GB2312" w:cs="仿宋_GB2312"/>
          <w:color w:val="auto"/>
          <w:sz w:val="32"/>
          <w:szCs w:val="32"/>
          <w:lang w:eastAsia="zh-CN"/>
        </w:rPr>
        <w:t>资助类别</w:t>
      </w:r>
      <w:r>
        <w:rPr>
          <w:rFonts w:hint="eastAsia" w:ascii="仿宋_GB2312" w:hAnsi="仿宋_GB2312" w:eastAsia="仿宋_GB2312" w:cs="仿宋_GB2312"/>
          <w:color w:val="auto"/>
          <w:sz w:val="32"/>
          <w:szCs w:val="32"/>
        </w:rPr>
        <w:t>选择“前资助”，</w:t>
      </w:r>
      <w:r>
        <w:rPr>
          <w:rFonts w:hint="eastAsia" w:ascii="仿宋_GB2312" w:hAnsi="仿宋_GB2312" w:eastAsia="仿宋_GB2312" w:cs="仿宋_GB2312"/>
          <w:color w:val="auto"/>
          <w:sz w:val="32"/>
          <w:szCs w:val="32"/>
          <w:lang w:eastAsia="zh-CN"/>
        </w:rPr>
        <w:t>管理类别</w:t>
      </w:r>
      <w:r>
        <w:rPr>
          <w:rFonts w:hint="eastAsia" w:ascii="仿宋_GB2312" w:hAnsi="仿宋_GB2312" w:eastAsia="仿宋_GB2312" w:cs="仿宋_GB2312"/>
          <w:color w:val="auto"/>
          <w:sz w:val="32"/>
          <w:szCs w:val="32"/>
        </w:rPr>
        <w:t>选择“农村处”。</w:t>
      </w:r>
    </w:p>
    <w:p>
      <w:pPr>
        <w:keepNext w:val="0"/>
        <w:keepLines w:val="0"/>
        <w:pageBreakBefore w:val="0"/>
        <w:widowControl w:val="0"/>
        <w:kinsoku/>
        <w:wordWrap/>
        <w:overflowPunct/>
        <w:topLinePunct w:val="0"/>
        <w:autoSpaceDE/>
        <w:autoSpaceDN/>
        <w:bidi w:val="0"/>
        <w:snapToGrid/>
        <w:spacing w:line="560" w:lineRule="exact"/>
        <w:ind w:firstLine="480" w:firstLineChars="15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（二）申报项目名称请</w:t>
      </w:r>
      <w:r>
        <w:rPr>
          <w:rFonts w:hint="eastAsia" w:ascii="仿宋_GB2312" w:hAnsi="仿宋_GB2312" w:eastAsia="仿宋_GB2312" w:cs="仿宋_GB2312"/>
          <w:color w:val="auto"/>
          <w:kern w:val="0"/>
          <w:sz w:val="32"/>
          <w:szCs w:val="32"/>
          <w:lang w:eastAsia="zh-CN"/>
        </w:rPr>
        <w:t>填写</w:t>
      </w:r>
      <w:r>
        <w:rPr>
          <w:rFonts w:hint="eastAsia" w:ascii="仿宋_GB2312" w:hAnsi="仿宋_GB2312" w:eastAsia="仿宋_GB2312" w:cs="仿宋_GB2312"/>
          <w:color w:val="auto"/>
          <w:kern w:val="0"/>
          <w:sz w:val="32"/>
          <w:szCs w:val="32"/>
        </w:rPr>
        <w:t>“XXX研究”或“XXX攻关”。</w:t>
      </w:r>
    </w:p>
    <w:p>
      <w:pPr>
        <w:keepNext w:val="0"/>
        <w:keepLines w:val="0"/>
        <w:pageBreakBefore w:val="0"/>
        <w:widowControl w:val="0"/>
        <w:kinsoku/>
        <w:wordWrap/>
        <w:overflowPunct/>
        <w:topLinePunct w:val="0"/>
        <w:autoSpaceDE/>
        <w:autoSpaceDN/>
        <w:bidi w:val="0"/>
        <w:snapToGrid/>
        <w:spacing w:line="560" w:lineRule="exact"/>
        <w:ind w:firstLine="480" w:firstLineChars="15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（三）申报单位通过“附件”上传必要的申报材料外，还需上传以下材料：</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 团队负责人及团队成员的身份证明、学术证明（学历、学位、职称、资质）。</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2.标志性成果证明（承担项目、培育品种、获得专利、科技奖励、发表论文、著作等）等相关佐证材料。</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3.种业创新团队（创新联合体）整合后成员名单。</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4.企业需提供上一年度审计报告及本年度财务报表。</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黑体" w:hAnsi="黑体" w:eastAsia="黑体"/>
          <w:color w:val="auto"/>
          <w:kern w:val="0"/>
          <w:sz w:val="32"/>
          <w:szCs w:val="32"/>
        </w:rPr>
      </w:pPr>
      <w:r>
        <w:rPr>
          <w:rFonts w:hint="eastAsia" w:ascii="黑体" w:hAnsi="黑体" w:eastAsia="黑体"/>
          <w:color w:val="auto"/>
          <w:kern w:val="0"/>
          <w:sz w:val="32"/>
          <w:szCs w:val="32"/>
          <w:lang w:val="en-US" w:eastAsia="zh-CN"/>
        </w:rPr>
        <w:t>六</w:t>
      </w:r>
      <w:r>
        <w:rPr>
          <w:rFonts w:hint="eastAsia" w:ascii="黑体" w:hAnsi="黑体" w:eastAsia="黑体"/>
          <w:color w:val="auto"/>
          <w:kern w:val="0"/>
          <w:sz w:val="32"/>
          <w:szCs w:val="32"/>
        </w:rPr>
        <w:t>、联系方式</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ascii="仿宋_GB2312" w:hAnsi="仿宋" w:eastAsia="仿宋_GB2312" w:cs="仿宋"/>
          <w:color w:val="auto"/>
          <w:kern w:val="0"/>
          <w:sz w:val="32"/>
          <w:szCs w:val="32"/>
        </w:rPr>
      </w:pPr>
      <w:r>
        <w:rPr>
          <w:rFonts w:hint="eastAsia" w:ascii="仿宋_GB2312" w:hAnsi="仿宋" w:eastAsia="仿宋_GB2312" w:cs="仿宋"/>
          <w:color w:val="auto"/>
          <w:kern w:val="0"/>
          <w:sz w:val="32"/>
          <w:szCs w:val="32"/>
        </w:rPr>
        <w:t>市科技局农村处：裴亚涛，</w:t>
      </w:r>
      <w:r>
        <w:rPr>
          <w:rFonts w:ascii="仿宋_GB2312" w:hAnsi="仿宋" w:eastAsia="仿宋_GB2312" w:cs="仿宋"/>
          <w:color w:val="auto"/>
          <w:kern w:val="0"/>
          <w:sz w:val="32"/>
          <w:szCs w:val="32"/>
        </w:rPr>
        <w:t>22725022</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010013-68DB-4B8D-BE74-6AD3189000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9326300-7AF4-4C29-BAA1-E2E3F5C49010}"/>
  </w:font>
  <w:font w:name="方正小标宋_GBK">
    <w:panose1 w:val="02000000000000000000"/>
    <w:charset w:val="86"/>
    <w:family w:val="auto"/>
    <w:pitch w:val="default"/>
    <w:sig w:usb0="A00002BF" w:usb1="38CF7CFA" w:usb2="00082016" w:usb3="00000000" w:csb0="00040001" w:csb1="00000000"/>
    <w:embedRegular r:id="rId3" w:fontKey="{90D7CF84-C880-4569-AAD0-492047D740B6}"/>
  </w:font>
  <w:font w:name="仿宋">
    <w:panose1 w:val="02010609060101010101"/>
    <w:charset w:val="86"/>
    <w:family w:val="modern"/>
    <w:pitch w:val="default"/>
    <w:sig w:usb0="800002BF" w:usb1="38CF7CFA" w:usb2="00000016" w:usb3="00000000" w:csb0="00040001" w:csb1="00000000"/>
    <w:embedRegular r:id="rId4" w:fontKey="{06E0B700-C22A-42AF-AD3C-F197872A9CD9}"/>
  </w:font>
  <w:font w:name="仿宋_GB2312">
    <w:altName w:val="仿宋"/>
    <w:panose1 w:val="02010609030101010101"/>
    <w:charset w:val="86"/>
    <w:family w:val="modern"/>
    <w:pitch w:val="default"/>
    <w:sig w:usb0="00000000" w:usb1="00000000" w:usb2="00000000" w:usb3="00000000" w:csb0="00040000" w:csb1="00000000"/>
    <w:embedRegular r:id="rId5" w:fontKey="{D727CD01-9270-40DE-9C96-4E9ECBC43C15}"/>
  </w:font>
  <w:font w:name="楷体_GB2312">
    <w:altName w:val="楷体"/>
    <w:panose1 w:val="02010609030101010101"/>
    <w:charset w:val="86"/>
    <w:family w:val="modern"/>
    <w:pitch w:val="default"/>
    <w:sig w:usb0="00000000" w:usb1="00000000" w:usb2="00000000" w:usb3="00000000" w:csb0="00040000" w:csb1="00000000"/>
    <w:embedRegular r:id="rId6" w:fontKey="{555E7A46-9062-413A-B77A-B06A458D45CC}"/>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MmY1YjYxZWVkMDNjZTQwMTgyYzYzMWQ1ODdlY2UifQ=="/>
  </w:docVars>
  <w:rsids>
    <w:rsidRoot w:val="53C27BFA"/>
    <w:rsid w:val="53C27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5">
    <w:name w:val="List Paragraph"/>
    <w:basedOn w:val="1"/>
    <w:qFormat/>
    <w:uiPriority w:val="34"/>
    <w:pPr>
      <w:ind w:firstLine="420" w:firstLineChars="200"/>
    </w:pPr>
    <w:rPr>
      <w:rFonts w:cs="黑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2023-07-06T01:48:00Z</dcterms:created>
  <dc:creator>岳雨</dc:creator>
  <cp:lastModifiedBy>岳雨</cp:lastModifiedBy>
  <dcterms:modified xsi:type="dcterms:W3CDTF">2023-07-06T01:48:48Z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749042B1FF97445E92E32481EDE60D44_11</vt:lpwstr>
  </property>
</Properties>
</file>